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1BA" w14:textId="77777777" w:rsidR="00D03B38" w:rsidRDefault="00D03B38" w:rsidP="00390975">
      <w:pPr>
        <w:spacing w:line="360" w:lineRule="auto"/>
        <w:ind w:left="851" w:right="419"/>
      </w:pPr>
      <w:r>
        <w:t>PRESSEINFORMATION</w:t>
      </w:r>
    </w:p>
    <w:p w14:paraId="3D3AA299" w14:textId="61075C68" w:rsidR="00D03B38" w:rsidRDefault="00D03B38" w:rsidP="00102126">
      <w:pPr>
        <w:ind w:left="851" w:right="419"/>
      </w:pPr>
    </w:p>
    <w:p w14:paraId="7270F086" w14:textId="3F841C49" w:rsidR="00C372BC" w:rsidRPr="00390975" w:rsidRDefault="00C372BC" w:rsidP="00102126">
      <w:pPr>
        <w:ind w:left="851" w:right="419"/>
        <w:rPr>
          <w:b/>
          <w:bCs/>
        </w:rPr>
      </w:pPr>
      <w:r w:rsidRPr="00390975">
        <w:rPr>
          <w:b/>
          <w:bCs/>
        </w:rPr>
        <w:t>Die Roten Funken feiern Ge</w:t>
      </w:r>
      <w:r w:rsidR="00390975" w:rsidRPr="00390975">
        <w:rPr>
          <w:b/>
          <w:bCs/>
        </w:rPr>
        <w:t>b</w:t>
      </w:r>
      <w:r w:rsidRPr="00390975">
        <w:rPr>
          <w:b/>
          <w:bCs/>
        </w:rPr>
        <w:t>urtstag:</w:t>
      </w:r>
    </w:p>
    <w:p w14:paraId="7DE0F5AA" w14:textId="11610701" w:rsidR="00C372BC" w:rsidRPr="00390975" w:rsidRDefault="00421B4E" w:rsidP="00102126">
      <w:pPr>
        <w:ind w:left="851" w:right="419"/>
        <w:rPr>
          <w:b/>
          <w:bCs/>
        </w:rPr>
      </w:pPr>
      <w:r>
        <w:rPr>
          <w:b/>
          <w:bCs/>
        </w:rPr>
        <w:t>7</w:t>
      </w:r>
      <w:r w:rsidR="00C372BC" w:rsidRPr="00390975">
        <w:rPr>
          <w:b/>
          <w:bCs/>
        </w:rPr>
        <w:t>0 Veranstaltungen in einem Jahr</w:t>
      </w:r>
    </w:p>
    <w:p w14:paraId="5D9B7C0C" w14:textId="30F2BA5E" w:rsidR="00C372BC" w:rsidRDefault="00C372BC" w:rsidP="00102126">
      <w:pPr>
        <w:ind w:left="851" w:right="419"/>
      </w:pPr>
    </w:p>
    <w:p w14:paraId="29F93650" w14:textId="77777777" w:rsidR="00390975" w:rsidRDefault="00390975" w:rsidP="00102126">
      <w:pPr>
        <w:ind w:left="851" w:right="419"/>
        <w:rPr>
          <w:b/>
          <w:bCs/>
        </w:rPr>
      </w:pPr>
      <w:r w:rsidRPr="00390975">
        <w:rPr>
          <w:b/>
          <w:bCs/>
        </w:rPr>
        <w:t>„Brauchtumspflege als Aktivposten</w:t>
      </w:r>
      <w:r>
        <w:rPr>
          <w:b/>
          <w:bCs/>
        </w:rPr>
        <w:t xml:space="preserve"> </w:t>
      </w:r>
    </w:p>
    <w:p w14:paraId="6AE4721A" w14:textId="3E8770CA" w:rsidR="00C372BC" w:rsidRPr="00390975" w:rsidRDefault="00E66196" w:rsidP="00102126">
      <w:pPr>
        <w:ind w:left="851" w:right="419"/>
        <w:rPr>
          <w:b/>
          <w:bCs/>
        </w:rPr>
      </w:pPr>
      <w:r>
        <w:rPr>
          <w:b/>
          <w:bCs/>
        </w:rPr>
        <w:t>i</w:t>
      </w:r>
      <w:r w:rsidR="00390975">
        <w:rPr>
          <w:b/>
          <w:bCs/>
        </w:rPr>
        <w:t>n der Stadtgesellschaft</w:t>
      </w:r>
      <w:r w:rsidR="00390975" w:rsidRPr="00390975">
        <w:rPr>
          <w:b/>
          <w:bCs/>
        </w:rPr>
        <w:t>“</w:t>
      </w:r>
    </w:p>
    <w:p w14:paraId="5C4BA72C" w14:textId="548FC075" w:rsidR="00D03B38" w:rsidRDefault="00D03B38" w:rsidP="00390975">
      <w:pPr>
        <w:spacing w:line="360" w:lineRule="auto"/>
        <w:ind w:right="419"/>
      </w:pPr>
    </w:p>
    <w:p w14:paraId="29D733A7" w14:textId="3FE55DC4" w:rsidR="00102126" w:rsidRDefault="00102126" w:rsidP="00390975">
      <w:pPr>
        <w:spacing w:line="360" w:lineRule="auto"/>
        <w:ind w:right="419"/>
      </w:pPr>
    </w:p>
    <w:p w14:paraId="5D4B08B6" w14:textId="3B020792" w:rsidR="00102126" w:rsidRDefault="00102126" w:rsidP="00102126">
      <w:pPr>
        <w:spacing w:line="360" w:lineRule="auto"/>
        <w:ind w:right="419"/>
        <w:jc w:val="right"/>
      </w:pPr>
      <w:r>
        <w:t>(4.030 Anschläge inkl. Leerzeichen)</w:t>
      </w:r>
    </w:p>
    <w:p w14:paraId="1D4DFB9D" w14:textId="0D0F5920" w:rsidR="00D03B38" w:rsidRDefault="00D03B38" w:rsidP="00390975">
      <w:pPr>
        <w:spacing w:line="360" w:lineRule="auto"/>
        <w:ind w:left="851" w:right="419"/>
      </w:pPr>
      <w:r>
        <w:t xml:space="preserve">(Vorspann)      </w:t>
      </w:r>
    </w:p>
    <w:p w14:paraId="253D1DCD" w14:textId="43822F7B" w:rsidR="002959A2" w:rsidRDefault="00D03B38" w:rsidP="00390975">
      <w:pPr>
        <w:spacing w:line="360" w:lineRule="auto"/>
        <w:ind w:left="851" w:right="419"/>
      </w:pPr>
      <w:r>
        <w:t xml:space="preserve">Ein Jahr lang feiern die Roten Funken ihren 200. Geburtstag: </w:t>
      </w:r>
      <w:r w:rsidR="002D7992">
        <w:t>Auf r</w:t>
      </w:r>
      <w:r>
        <w:t xml:space="preserve">und </w:t>
      </w:r>
      <w:r w:rsidR="00B27EB4">
        <w:t>7</w:t>
      </w:r>
      <w:r>
        <w:t xml:space="preserve">0 Veranstaltungen </w:t>
      </w:r>
      <w:r w:rsidR="002D7992">
        <w:t>zelebriert das älteste und größte Traditionskorps der Stadt Köln nicht nur sein</w:t>
      </w:r>
      <w:r w:rsidR="003D49A6">
        <w:t xml:space="preserve"> Jubiläum</w:t>
      </w:r>
      <w:r w:rsidR="002D7992">
        <w:t>, sondern zeigt auch, wie Brauchtumspflege zeitgemäß umgesetzt werden kann. Das reicht vom kleinen „Unplug</w:t>
      </w:r>
      <w:r w:rsidR="00F03D72">
        <w:t>g</w:t>
      </w:r>
      <w:r w:rsidR="002D7992">
        <w:t>ed-Konzert“ bis zur großen Revue in der Lanxess-Arena. Von der (selbst</w:t>
      </w:r>
      <w:r w:rsidR="002959A2">
        <w:t xml:space="preserve">-) </w:t>
      </w:r>
      <w:r w:rsidR="002D7992">
        <w:t>kritischen Podiumsdiskussion, wie sich Karneval zwischen Kommerz und Brauchtum positioniert</w:t>
      </w:r>
      <w:r w:rsidR="00267DA6">
        <w:t>,</w:t>
      </w:r>
      <w:r w:rsidR="002D7992">
        <w:t xml:space="preserve"> </w:t>
      </w:r>
      <w:r w:rsidR="002959A2">
        <w:t>bis zu</w:t>
      </w:r>
      <w:r w:rsidR="002D7992">
        <w:t xml:space="preserve"> einem </w:t>
      </w:r>
      <w:r w:rsidR="002959A2">
        <w:t>Konzert</w:t>
      </w:r>
      <w:r w:rsidR="002D7992">
        <w:t xml:space="preserve"> unter Mitwirkung des Gürzenich Orchesters</w:t>
      </w:r>
      <w:r w:rsidR="002959A2">
        <w:t xml:space="preserve"> in der Kölner Philharmonie. Präsident Heinz-Günther Hunold: „Die Roten Funken sind ein Aktivposten der Kölner Stadtgesellschaft. </w:t>
      </w:r>
      <w:r w:rsidR="00017FA4">
        <w:t>Mit unserem Jubiläumsprogramm wird das sichtbar.“</w:t>
      </w:r>
    </w:p>
    <w:p w14:paraId="7B920E6E" w14:textId="2D408C9F" w:rsidR="002959A2" w:rsidRDefault="002959A2" w:rsidP="00390975">
      <w:pPr>
        <w:spacing w:line="360" w:lineRule="auto"/>
        <w:ind w:left="851" w:right="419"/>
      </w:pPr>
    </w:p>
    <w:p w14:paraId="6B51D388" w14:textId="20DACFE8" w:rsidR="002959A2" w:rsidRDefault="002959A2" w:rsidP="00390975">
      <w:pPr>
        <w:spacing w:line="360" w:lineRule="auto"/>
        <w:ind w:left="851" w:right="419"/>
      </w:pPr>
      <w:r>
        <w:t>(Lauftext)</w:t>
      </w:r>
    </w:p>
    <w:p w14:paraId="2D8338D0" w14:textId="4B317D2B" w:rsidR="00987A0C" w:rsidRDefault="00267DA6" w:rsidP="00390975">
      <w:pPr>
        <w:spacing w:line="360" w:lineRule="auto"/>
        <w:ind w:left="851" w:right="419"/>
      </w:pPr>
      <w:r>
        <w:t>Um ein so umfängliches Programm auf die Beine zu stellen, muss man frühzeitig mit den Vorarbeiten starten. Bereits 201</w:t>
      </w:r>
      <w:r w:rsidR="00B27EB4">
        <w:t>6</w:t>
      </w:r>
      <w:r>
        <w:t xml:space="preserve"> fanden erste Überlegungen statt. Es schälte sich dann langsam ein Programm heraus, das </w:t>
      </w:r>
      <w:r w:rsidR="00915FF0">
        <w:t xml:space="preserve">zum einen </w:t>
      </w:r>
      <w:r>
        <w:t>dem Sel</w:t>
      </w:r>
      <w:r w:rsidR="00915FF0">
        <w:t>bs</w:t>
      </w:r>
      <w:r>
        <w:t>tverständnis der Roten Funken en</w:t>
      </w:r>
      <w:r w:rsidR="00915FF0">
        <w:t>ts</w:t>
      </w:r>
      <w:r>
        <w:t xml:space="preserve">pricht und </w:t>
      </w:r>
      <w:r w:rsidR="00915FF0">
        <w:t>zum anderen</w:t>
      </w:r>
      <w:r>
        <w:t xml:space="preserve"> möglich</w:t>
      </w:r>
      <w:r w:rsidR="00915FF0">
        <w:t>s</w:t>
      </w:r>
      <w:r>
        <w:t>t viele Interessenten erreich</w:t>
      </w:r>
      <w:r w:rsidR="003D49A6">
        <w:t>en soll</w:t>
      </w:r>
      <w:r>
        <w:t>. „</w:t>
      </w:r>
      <w:r w:rsidR="00915FF0">
        <w:t xml:space="preserve">Wir setzen auf Vielfalt, um auch solche Bürgerinnen und Bürger zu erreichen, </w:t>
      </w:r>
      <w:r>
        <w:t xml:space="preserve">die Karneval und Brauchtum </w:t>
      </w:r>
      <w:r w:rsidR="00915FF0">
        <w:t xml:space="preserve">durchaus </w:t>
      </w:r>
    </w:p>
    <w:p w14:paraId="66AFF02B" w14:textId="77777777" w:rsidR="00987A0C" w:rsidRDefault="00987A0C" w:rsidP="00390975">
      <w:pPr>
        <w:spacing w:line="360" w:lineRule="auto"/>
        <w:ind w:left="851" w:right="419"/>
      </w:pPr>
    </w:p>
    <w:p w14:paraId="62CCCD14" w14:textId="77777777" w:rsidR="00987A0C" w:rsidRDefault="00987A0C" w:rsidP="00390975">
      <w:pPr>
        <w:spacing w:line="360" w:lineRule="auto"/>
        <w:ind w:left="851" w:right="419"/>
      </w:pPr>
    </w:p>
    <w:p w14:paraId="08A0C8C3" w14:textId="77777777" w:rsidR="00987A0C" w:rsidRDefault="00987A0C" w:rsidP="00390975">
      <w:pPr>
        <w:spacing w:line="360" w:lineRule="auto"/>
        <w:ind w:left="851" w:right="419"/>
      </w:pPr>
    </w:p>
    <w:p w14:paraId="145C39B5" w14:textId="77777777" w:rsidR="00987A0C" w:rsidRDefault="00017FA4" w:rsidP="00987A0C">
      <w:pPr>
        <w:spacing w:line="360" w:lineRule="auto"/>
        <w:ind w:left="851" w:right="419"/>
      </w:pPr>
      <w:r>
        <w:t>distanziert</w:t>
      </w:r>
      <w:r w:rsidR="00267DA6">
        <w:t xml:space="preserve"> gegenüberstehen“, </w:t>
      </w:r>
      <w:r w:rsidR="00915FF0">
        <w:t xml:space="preserve">fasst Walter Hüsch zusammen, bei dem als Koordinator die Programm-Fäden zusammenlaufen. </w:t>
      </w:r>
    </w:p>
    <w:p w14:paraId="7C2C07CA" w14:textId="77777777" w:rsidR="00987A0C" w:rsidRDefault="00987A0C" w:rsidP="00987A0C">
      <w:pPr>
        <w:spacing w:line="360" w:lineRule="auto"/>
        <w:ind w:left="851" w:right="419"/>
      </w:pPr>
    </w:p>
    <w:p w14:paraId="5FDA7910" w14:textId="311E8DA0" w:rsidR="003B6C99" w:rsidRDefault="00915FF0" w:rsidP="00987A0C">
      <w:pPr>
        <w:spacing w:line="360" w:lineRule="auto"/>
        <w:ind w:left="851" w:right="419"/>
      </w:pPr>
      <w:r>
        <w:t>Da gibt es zum Beispiel eine ganze Reihe von Diskussionsveranstaltungen, die alle im Haus der Roten Funken</w:t>
      </w:r>
      <w:r w:rsidR="00017FA4">
        <w:t>,</w:t>
      </w:r>
      <w:r>
        <w:t xml:space="preserve"> in der </w:t>
      </w:r>
      <w:proofErr w:type="spellStart"/>
      <w:r>
        <w:t>Ulrepforte</w:t>
      </w:r>
      <w:proofErr w:type="spellEnd"/>
      <w:r w:rsidR="00017FA4">
        <w:t>,</w:t>
      </w:r>
      <w:r>
        <w:t xml:space="preserve"> stattfinden und die sich mit </w:t>
      </w:r>
      <w:r w:rsidR="00017FA4">
        <w:t>kritischen</w:t>
      </w:r>
      <w:r>
        <w:t xml:space="preserve"> Themen befassen. Wie zum Beispiel: Karneval in der NS Zeit,</w:t>
      </w:r>
      <w:r w:rsidR="00017FA4">
        <w:t xml:space="preserve"> K</w:t>
      </w:r>
      <w:r>
        <w:t xml:space="preserve">ommerzialisierung des Brauchtums oder </w:t>
      </w:r>
      <w:r w:rsidR="003B6C99">
        <w:t xml:space="preserve">dem Zusammenspiel von Kirche und Karneval. Alle ein Stück Selbstreflexion und eigene Standortbestimmung – nicht nur </w:t>
      </w:r>
      <w:r w:rsidR="00017FA4">
        <w:t>für die</w:t>
      </w:r>
      <w:r w:rsidR="003B6C99">
        <w:t xml:space="preserve"> Roten Funken, sondern </w:t>
      </w:r>
      <w:r w:rsidR="00017FA4">
        <w:t xml:space="preserve">für </w:t>
      </w:r>
      <w:r w:rsidR="003B6C99">
        <w:t xml:space="preserve">alle Brauchtumspfleger. </w:t>
      </w:r>
    </w:p>
    <w:p w14:paraId="0CB8E4DD" w14:textId="77777777" w:rsidR="003B6C99" w:rsidRDefault="003B6C99" w:rsidP="00390975">
      <w:pPr>
        <w:spacing w:line="360" w:lineRule="auto"/>
        <w:ind w:left="851" w:right="419"/>
      </w:pPr>
    </w:p>
    <w:p w14:paraId="64C59BE8" w14:textId="3710B4E1" w:rsidR="00390975" w:rsidRPr="00390975" w:rsidRDefault="00390975" w:rsidP="00390975">
      <w:pPr>
        <w:spacing w:line="360" w:lineRule="auto"/>
        <w:ind w:left="851" w:right="419"/>
        <w:rPr>
          <w:b/>
          <w:bCs/>
        </w:rPr>
      </w:pPr>
      <w:r w:rsidRPr="00390975">
        <w:rPr>
          <w:b/>
          <w:bCs/>
        </w:rPr>
        <w:t>Empathie als Antrieb</w:t>
      </w:r>
    </w:p>
    <w:p w14:paraId="377B2C80" w14:textId="77777777" w:rsidR="00390975" w:rsidRPr="00390975" w:rsidRDefault="00390975" w:rsidP="00390975">
      <w:pPr>
        <w:spacing w:line="360" w:lineRule="auto"/>
        <w:ind w:left="851" w:right="419"/>
        <w:rPr>
          <w:b/>
          <w:bCs/>
        </w:rPr>
      </w:pPr>
    </w:p>
    <w:p w14:paraId="0B62D144" w14:textId="16BA89E1" w:rsidR="00390975" w:rsidRDefault="003B6C99" w:rsidP="00390975">
      <w:pPr>
        <w:spacing w:line="360" w:lineRule="auto"/>
        <w:ind w:left="851" w:right="419"/>
      </w:pPr>
      <w:r>
        <w:t xml:space="preserve">Und dann gibt es </w:t>
      </w:r>
      <w:r w:rsidR="003D49A6">
        <w:t>im Programm</w:t>
      </w:r>
      <w:r>
        <w:t xml:space="preserve"> ein Stück gelebte DNA der Roten Funken</w:t>
      </w:r>
      <w:r w:rsidR="00017FA4">
        <w:t>:</w:t>
      </w:r>
      <w:r>
        <w:t xml:space="preserve"> soziale Verantwortung und Empathie</w:t>
      </w:r>
      <w:r w:rsidR="00017FA4">
        <w:t>.</w:t>
      </w:r>
      <w:r>
        <w:t xml:space="preserve"> Zum Beispiel, wenn die Funken in der Karnevalszeit mit Sammelbüch</w:t>
      </w:r>
      <w:r w:rsidR="00F03D72">
        <w:t>s</w:t>
      </w:r>
      <w:r>
        <w:t xml:space="preserve">en durch Säle und Straßen ziehen, um Geld für obdachlose Frauen zu sammeln, wenn sie einen „Jubiläumswein“ ausschenken, der </w:t>
      </w:r>
      <w:r w:rsidR="006F64D5">
        <w:t>von</w:t>
      </w:r>
      <w:r>
        <w:t xml:space="preserve"> einem </w:t>
      </w:r>
      <w:r w:rsidR="006F64D5">
        <w:t>bei</w:t>
      </w:r>
      <w:r>
        <w:t xml:space="preserve"> der Flutkatastrophe schwer geschädigten Winzerbe</w:t>
      </w:r>
      <w:r w:rsidR="0058523A">
        <w:t>t</w:t>
      </w:r>
      <w:r>
        <w:t xml:space="preserve">rieb </w:t>
      </w:r>
      <w:r w:rsidR="006F64D5">
        <w:t>an der Ahr stammt oder wenn sie vor und nach Karneval zusammen mit anderen Karnevalisten bei der Aktion</w:t>
      </w:r>
      <w:r w:rsidR="00D03B38">
        <w:t xml:space="preserve"> </w:t>
      </w:r>
      <w:r w:rsidR="006F64D5">
        <w:t xml:space="preserve">„Kölle putzmunter“ mitanpacken und die Kölner Innenstadt vom Müll befreien. </w:t>
      </w:r>
    </w:p>
    <w:p w14:paraId="2A7ED623" w14:textId="77777777" w:rsidR="00390975" w:rsidRDefault="00390975" w:rsidP="00390975">
      <w:pPr>
        <w:spacing w:line="360" w:lineRule="auto"/>
        <w:ind w:left="851" w:right="419"/>
      </w:pPr>
    </w:p>
    <w:p w14:paraId="204B8B6E" w14:textId="77777777" w:rsidR="00987A0C" w:rsidRDefault="006F64D5" w:rsidP="00017FA4">
      <w:pPr>
        <w:spacing w:line="360" w:lineRule="auto"/>
        <w:ind w:left="851" w:right="419"/>
      </w:pPr>
      <w:r>
        <w:t xml:space="preserve">Ein Highlight </w:t>
      </w:r>
      <w:r w:rsidR="00C627DE">
        <w:t xml:space="preserve">des Straßenkarnevals </w:t>
      </w:r>
      <w:r>
        <w:t>ist alljährlich das Funken-Biwak auf dem Neumarkt</w:t>
      </w:r>
      <w:r w:rsidR="0058523A">
        <w:t xml:space="preserve">. Im Jubiläumsjahr werden solche Biwaks im Miniformat in den Kölner Veedeln stattfinden – in Zusammenarbeit </w:t>
      </w:r>
      <w:r w:rsidR="00E66196">
        <w:t xml:space="preserve">mit </w:t>
      </w:r>
      <w:r w:rsidR="0058523A">
        <w:t xml:space="preserve">den dortigen Vereinen. Da kann jeder mitfeiern – draußen und umsonst. Einen ganz anderen Ansatz wählt </w:t>
      </w:r>
      <w:r w:rsidR="00C627DE">
        <w:t xml:space="preserve">das „Fest der Masken“, eine Reminiszenz an das 19. Jahrhundert, als die Kölner </w:t>
      </w:r>
    </w:p>
    <w:p w14:paraId="20CEA2C8" w14:textId="77777777" w:rsidR="00987A0C" w:rsidRDefault="00987A0C" w:rsidP="00017FA4">
      <w:pPr>
        <w:spacing w:line="360" w:lineRule="auto"/>
        <w:ind w:left="851" w:right="419"/>
      </w:pPr>
    </w:p>
    <w:p w14:paraId="01050915" w14:textId="77777777" w:rsidR="00987A0C" w:rsidRDefault="00987A0C" w:rsidP="00017FA4">
      <w:pPr>
        <w:spacing w:line="360" w:lineRule="auto"/>
        <w:ind w:left="851" w:right="419"/>
      </w:pPr>
    </w:p>
    <w:p w14:paraId="059923E0" w14:textId="77777777" w:rsidR="00987A0C" w:rsidRDefault="00987A0C" w:rsidP="00017FA4">
      <w:pPr>
        <w:spacing w:line="360" w:lineRule="auto"/>
        <w:ind w:left="851" w:right="419"/>
      </w:pPr>
    </w:p>
    <w:p w14:paraId="69DFF1E4" w14:textId="019658BB" w:rsidR="00102126" w:rsidRDefault="00C627DE" w:rsidP="00017FA4">
      <w:pPr>
        <w:spacing w:line="360" w:lineRule="auto"/>
        <w:ind w:left="851" w:right="419"/>
      </w:pPr>
      <w:r>
        <w:t>Bürgerschaft sich zu üppigen Maskenbällen traf. Ein solches Fest, das mit Anlehnungen an den venezianischen Karneval nicht geizte, wird</w:t>
      </w:r>
      <w:r w:rsidR="00017FA4">
        <w:t xml:space="preserve"> jetzt</w:t>
      </w:r>
      <w:r>
        <w:t xml:space="preserve"> </w:t>
      </w:r>
      <w:r w:rsidR="00B27EB4">
        <w:t>im Gürzenich</w:t>
      </w:r>
      <w:r>
        <w:t xml:space="preserve"> stattfinden </w:t>
      </w:r>
      <w:r w:rsidR="005D112D">
        <w:t>–</w:t>
      </w:r>
      <w:r>
        <w:t xml:space="preserve"> mit</w:t>
      </w:r>
      <w:r w:rsidR="005D112D">
        <w:t xml:space="preserve"> </w:t>
      </w:r>
      <w:r>
        <w:t xml:space="preserve">Feuerschluckern und anderen Artisten sowie stilechtem Ambiente. </w:t>
      </w:r>
      <w:r w:rsidR="00285A5D">
        <w:t>Es gilt Maskenpflicht, womit endlich einmal nicht die FFP-Corona Masken gemeint sind…</w:t>
      </w:r>
    </w:p>
    <w:p w14:paraId="2BBD06E4" w14:textId="77777777" w:rsidR="00017FA4" w:rsidRDefault="00017FA4" w:rsidP="00017FA4">
      <w:pPr>
        <w:spacing w:line="360" w:lineRule="auto"/>
        <w:ind w:left="851" w:right="419"/>
      </w:pPr>
    </w:p>
    <w:p w14:paraId="0AD80E89" w14:textId="396978AE" w:rsidR="00102126" w:rsidRDefault="00285A5D" w:rsidP="00102126">
      <w:pPr>
        <w:spacing w:line="360" w:lineRule="auto"/>
        <w:ind w:left="851" w:right="419"/>
      </w:pPr>
      <w:r>
        <w:t xml:space="preserve">Einige kulturelle Großereignisse </w:t>
      </w:r>
      <w:r w:rsidR="00D453C9">
        <w:t xml:space="preserve">runden das Programm ab: Eröffnet wird das Jubiläumsjahr mit einem Konzert in der Kölner Philharmonie. Markus Stenz dirigiert das Gürzenich-Orchester und Alvaro Palmen </w:t>
      </w:r>
      <w:r w:rsidR="003D49A6">
        <w:t xml:space="preserve">das </w:t>
      </w:r>
      <w:r w:rsidR="00D453C9">
        <w:t xml:space="preserve">Jugendsinfonieorchester. Beide spielen unter dem Titel „So klingt Köln“ nicht nur die </w:t>
      </w:r>
      <w:r w:rsidR="00BF2031">
        <w:t>karnevalistischen</w:t>
      </w:r>
      <w:r w:rsidR="00D453C9">
        <w:t xml:space="preserve"> Evergreens aus</w:t>
      </w:r>
      <w:r w:rsidR="00BF2031">
        <w:t xml:space="preserve"> dem 19. und 20. Jahrhundert. Eine </w:t>
      </w:r>
      <w:r w:rsidR="00B0045A">
        <w:t>umfang</w:t>
      </w:r>
      <w:r w:rsidR="00D31A94">
        <w:t>r</w:t>
      </w:r>
      <w:r w:rsidR="00B0045A">
        <w:t>eiche</w:t>
      </w:r>
      <w:r w:rsidR="00BF2031">
        <w:t xml:space="preserve"> Ausstellung zur Geschichte der Roten Funken wird </w:t>
      </w:r>
      <w:r w:rsidR="003D49A6">
        <w:t>in</w:t>
      </w:r>
      <w:r w:rsidR="00BF2031">
        <w:t xml:space="preserve"> der großen Halle der Kreissparkasse am Neumarkt gezeigt, wobei „lebende Bilder“ mit echten Funken dafür sorgen werden, dass nicht zu viel kulturelle Ehrfurcht </w:t>
      </w:r>
      <w:r w:rsidR="00B0045A">
        <w:t>aufkommt</w:t>
      </w:r>
      <w:r w:rsidR="00BF2031">
        <w:t>.</w:t>
      </w:r>
    </w:p>
    <w:p w14:paraId="734CB200" w14:textId="77777777" w:rsidR="00987A0C" w:rsidRDefault="00987A0C" w:rsidP="00102126">
      <w:pPr>
        <w:spacing w:line="360" w:lineRule="auto"/>
        <w:ind w:left="851" w:right="419"/>
      </w:pPr>
    </w:p>
    <w:p w14:paraId="3A1BB671" w14:textId="77777777" w:rsidR="00987A0C" w:rsidRPr="00390975" w:rsidRDefault="00987A0C" w:rsidP="00987A0C">
      <w:pPr>
        <w:spacing w:line="360" w:lineRule="auto"/>
        <w:ind w:left="851" w:right="419"/>
        <w:rPr>
          <w:b/>
          <w:bCs/>
        </w:rPr>
      </w:pPr>
      <w:r w:rsidRPr="00390975">
        <w:rPr>
          <w:b/>
          <w:bCs/>
        </w:rPr>
        <w:t>Traditionen wiederbeleben</w:t>
      </w:r>
      <w:r>
        <w:rPr>
          <w:b/>
          <w:bCs/>
        </w:rPr>
        <w:t xml:space="preserve"> – und weiterentwickeln</w:t>
      </w:r>
    </w:p>
    <w:p w14:paraId="5D4E0AC6" w14:textId="5918F0A8" w:rsidR="00102126" w:rsidRDefault="00102126" w:rsidP="00987A0C">
      <w:pPr>
        <w:spacing w:line="360" w:lineRule="auto"/>
        <w:ind w:right="419"/>
      </w:pPr>
    </w:p>
    <w:p w14:paraId="753A3B94" w14:textId="56057E55" w:rsidR="00810110" w:rsidRPr="002C6ED1" w:rsidRDefault="00EA34A6" w:rsidP="006226AB">
      <w:pPr>
        <w:spacing w:line="360" w:lineRule="auto"/>
        <w:ind w:left="851"/>
        <w:rPr>
          <w:rFonts w:ascii="Calibri" w:hAnsi="Calibri" w:cs="Calibri"/>
        </w:rPr>
      </w:pPr>
      <w:r w:rsidRPr="002C6ED1">
        <w:rPr>
          <w:rFonts w:ascii="Calibri" w:hAnsi="Calibri" w:cs="Calibri"/>
        </w:rPr>
        <w:t>Die Jugend ha</w:t>
      </w:r>
      <w:r w:rsidR="008A0A01" w:rsidRPr="002C6ED1">
        <w:rPr>
          <w:rFonts w:ascii="Calibri" w:hAnsi="Calibri" w:cs="Calibri"/>
        </w:rPr>
        <w:t>t</w:t>
      </w:r>
      <w:r w:rsidRPr="002C6ED1">
        <w:rPr>
          <w:rFonts w:ascii="Calibri" w:hAnsi="Calibri" w:cs="Calibri"/>
        </w:rPr>
        <w:t xml:space="preserve"> gleich mehrere Veranstal</w:t>
      </w:r>
      <w:r w:rsidR="006226AB" w:rsidRPr="002C6ED1">
        <w:rPr>
          <w:rFonts w:ascii="Calibri" w:hAnsi="Calibri" w:cs="Calibri"/>
        </w:rPr>
        <w:t>t</w:t>
      </w:r>
      <w:r w:rsidRPr="002C6ED1">
        <w:rPr>
          <w:rFonts w:ascii="Calibri" w:hAnsi="Calibri" w:cs="Calibri"/>
        </w:rPr>
        <w:t xml:space="preserve">ungen </w:t>
      </w:r>
      <w:r w:rsidR="006226AB" w:rsidRPr="002C6ED1">
        <w:rPr>
          <w:rFonts w:ascii="Calibri" w:hAnsi="Calibri" w:cs="Calibri"/>
        </w:rPr>
        <w:t xml:space="preserve">des Jubiläumsprogramms </w:t>
      </w:r>
      <w:r w:rsidRPr="002C6ED1">
        <w:rPr>
          <w:rFonts w:ascii="Calibri" w:hAnsi="Calibri" w:cs="Calibri"/>
        </w:rPr>
        <w:t>im Visier: Im Studentenvierte</w:t>
      </w:r>
      <w:r w:rsidR="006226AB" w:rsidRPr="002C6ED1">
        <w:rPr>
          <w:rFonts w:ascii="Calibri" w:hAnsi="Calibri" w:cs="Calibri"/>
        </w:rPr>
        <w:t>l</w:t>
      </w:r>
      <w:r w:rsidRPr="002C6ED1">
        <w:rPr>
          <w:rFonts w:ascii="Calibri" w:hAnsi="Calibri" w:cs="Calibri"/>
        </w:rPr>
        <w:t xml:space="preserve"> </w:t>
      </w:r>
      <w:proofErr w:type="spellStart"/>
      <w:r w:rsidR="002C6ED1" w:rsidRPr="002C6ED1">
        <w:rPr>
          <w:rFonts w:ascii="Calibri" w:hAnsi="Calibri" w:cs="Calibri"/>
        </w:rPr>
        <w:t>Kwartier</w:t>
      </w:r>
      <w:proofErr w:type="spellEnd"/>
      <w:r w:rsidR="002C6ED1" w:rsidRPr="002C6ED1">
        <w:rPr>
          <w:rFonts w:ascii="Calibri" w:hAnsi="Calibri" w:cs="Calibri"/>
        </w:rPr>
        <w:t xml:space="preserve"> </w:t>
      </w:r>
      <w:proofErr w:type="spellStart"/>
      <w:r w:rsidR="002C6ED1" w:rsidRPr="002C6ED1">
        <w:rPr>
          <w:rFonts w:ascii="Calibri" w:hAnsi="Calibri" w:cs="Calibri"/>
        </w:rPr>
        <w:t>Latäng</w:t>
      </w:r>
      <w:proofErr w:type="spellEnd"/>
      <w:r w:rsidR="002C6ED1" w:rsidRPr="002C6ED1">
        <w:rPr>
          <w:rFonts w:ascii="Calibri" w:hAnsi="Calibri" w:cs="Calibri"/>
        </w:rPr>
        <w:t xml:space="preserve"> </w:t>
      </w:r>
      <w:r w:rsidRPr="002C6ED1">
        <w:rPr>
          <w:rFonts w:ascii="Calibri" w:hAnsi="Calibri" w:cs="Calibri"/>
        </w:rPr>
        <w:t xml:space="preserve">starten </w:t>
      </w:r>
      <w:r w:rsidR="006226AB" w:rsidRPr="002C6ED1">
        <w:rPr>
          <w:rFonts w:ascii="Calibri" w:hAnsi="Calibri" w:cs="Calibri"/>
        </w:rPr>
        <w:t xml:space="preserve">in </w:t>
      </w:r>
      <w:r w:rsidRPr="002C6ED1">
        <w:rPr>
          <w:rFonts w:ascii="Calibri" w:hAnsi="Calibri" w:cs="Calibri"/>
        </w:rPr>
        <w:t xml:space="preserve">beliebten Szene-Hotspots kleine Kneipen-Partys. In den </w:t>
      </w:r>
      <w:r w:rsidR="003D49A6" w:rsidRPr="002C6ED1">
        <w:rPr>
          <w:rFonts w:ascii="Calibri" w:hAnsi="Calibri" w:cs="Calibri"/>
        </w:rPr>
        <w:t>Lokalen</w:t>
      </w:r>
      <w:r w:rsidRPr="002C6ED1">
        <w:rPr>
          <w:rFonts w:ascii="Calibri" w:hAnsi="Calibri" w:cs="Calibri"/>
        </w:rPr>
        <w:t xml:space="preserve"> sorgen die Funken für Präsenz und Programm. Hüsch: „Wir wollen zeigen, dass Karneval feiern nicht automatisch exzessiver Alkoholkonsum bedeutet. Womit </w:t>
      </w:r>
      <w:r w:rsidR="006226AB" w:rsidRPr="002C6ED1">
        <w:rPr>
          <w:rFonts w:ascii="Calibri" w:hAnsi="Calibri" w:cs="Calibri"/>
        </w:rPr>
        <w:t xml:space="preserve">ja </w:t>
      </w:r>
      <w:r w:rsidRPr="002C6ED1">
        <w:rPr>
          <w:rFonts w:ascii="Calibri" w:hAnsi="Calibri" w:cs="Calibri"/>
          <w:color w:val="000000" w:themeColor="text1"/>
        </w:rPr>
        <w:t>das</w:t>
      </w:r>
      <w:r w:rsidR="006226AB" w:rsidRPr="002C6ED1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="002C6ED1" w:rsidRPr="002C6ED1"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  <w:t>Kwartier</w:t>
      </w:r>
      <w:proofErr w:type="spellEnd"/>
      <w:r w:rsidR="002C6ED1" w:rsidRPr="002C6ED1"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="002C6ED1" w:rsidRPr="002C6ED1"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  <w:t>Latäng</w:t>
      </w:r>
      <w:proofErr w:type="spellEnd"/>
      <w:r w:rsidR="002C6ED1" w:rsidRPr="002C6ED1"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  <w:t xml:space="preserve"> </w:t>
      </w:r>
      <w:r w:rsidRPr="002C6ED1">
        <w:rPr>
          <w:rFonts w:ascii="Calibri" w:hAnsi="Calibri" w:cs="Calibri"/>
          <w:color w:val="000000" w:themeColor="text1"/>
        </w:rPr>
        <w:t xml:space="preserve">und </w:t>
      </w:r>
      <w:r w:rsidR="00D4525F" w:rsidRPr="002C6ED1">
        <w:rPr>
          <w:rFonts w:ascii="Calibri" w:hAnsi="Calibri" w:cs="Calibri"/>
        </w:rPr>
        <w:t>damit auch</w:t>
      </w:r>
      <w:r w:rsidRPr="002C6ED1">
        <w:rPr>
          <w:rFonts w:ascii="Calibri" w:hAnsi="Calibri" w:cs="Calibri"/>
        </w:rPr>
        <w:t xml:space="preserve"> der Kölner Karneval in den letzten Jahren überregional </w:t>
      </w:r>
      <w:r w:rsidR="003D49A6" w:rsidRPr="002C6ED1">
        <w:rPr>
          <w:rFonts w:ascii="Calibri" w:hAnsi="Calibri" w:cs="Calibri"/>
        </w:rPr>
        <w:t>Kritik erntete</w:t>
      </w:r>
      <w:r w:rsidR="00810110" w:rsidRPr="002C6ED1">
        <w:rPr>
          <w:rFonts w:ascii="Calibri" w:hAnsi="Calibri" w:cs="Calibri"/>
        </w:rPr>
        <w:t>n</w:t>
      </w:r>
      <w:r w:rsidRPr="002C6ED1">
        <w:rPr>
          <w:rFonts w:ascii="Calibri" w:hAnsi="Calibri" w:cs="Calibri"/>
        </w:rPr>
        <w:t>.</w:t>
      </w:r>
      <w:r w:rsidR="006226AB" w:rsidRPr="002C6ED1">
        <w:rPr>
          <w:rFonts w:ascii="Calibri" w:hAnsi="Calibri" w:cs="Calibri"/>
        </w:rPr>
        <w:t xml:space="preserve">“ Deutlich </w:t>
      </w:r>
    </w:p>
    <w:p w14:paraId="39F7C9FC" w14:textId="77777777" w:rsidR="00810110" w:rsidRDefault="00810110" w:rsidP="006226AB">
      <w:pPr>
        <w:spacing w:line="360" w:lineRule="auto"/>
        <w:ind w:left="851"/>
      </w:pPr>
    </w:p>
    <w:p w14:paraId="6709C0CD" w14:textId="77777777" w:rsidR="00810110" w:rsidRDefault="00810110" w:rsidP="006226AB">
      <w:pPr>
        <w:spacing w:line="360" w:lineRule="auto"/>
        <w:ind w:left="851"/>
      </w:pPr>
    </w:p>
    <w:p w14:paraId="500E1E89" w14:textId="77777777" w:rsidR="00810110" w:rsidRDefault="00810110" w:rsidP="006226AB">
      <w:pPr>
        <w:spacing w:line="360" w:lineRule="auto"/>
        <w:ind w:left="851"/>
      </w:pPr>
    </w:p>
    <w:p w14:paraId="17A05269" w14:textId="77777777" w:rsidR="00810110" w:rsidRDefault="00810110" w:rsidP="006226AB">
      <w:pPr>
        <w:spacing w:line="360" w:lineRule="auto"/>
        <w:ind w:left="851"/>
      </w:pPr>
    </w:p>
    <w:p w14:paraId="2CD55285" w14:textId="24A7563F" w:rsidR="00EA34A6" w:rsidRDefault="00987A0C" w:rsidP="00810110">
      <w:pPr>
        <w:spacing w:line="360" w:lineRule="auto"/>
        <w:ind w:left="851"/>
      </w:pPr>
      <w:r>
        <w:t xml:space="preserve">jüngere Zielgruppen hat eine </w:t>
      </w:r>
      <w:r w:rsidR="006226AB">
        <w:t xml:space="preserve">„Roadshow“ der Funken </w:t>
      </w:r>
      <w:r>
        <w:t>im Visier</w:t>
      </w:r>
      <w:r w:rsidR="008A0A01">
        <w:t>.</w:t>
      </w:r>
      <w:r w:rsidR="006226AB">
        <w:t xml:space="preserve"> Schulen und Schulklassen </w:t>
      </w:r>
      <w:r>
        <w:t>werden besucht</w:t>
      </w:r>
      <w:r w:rsidR="006226AB">
        <w:t xml:space="preserve">, um </w:t>
      </w:r>
      <w:r w:rsidR="00C205DD">
        <w:t xml:space="preserve">Kölsches </w:t>
      </w:r>
      <w:r w:rsidR="006226AB">
        <w:t>Brauchtum anschaulich und hautnah zu vermitteln.</w:t>
      </w:r>
      <w:r w:rsidR="00C205DD">
        <w:t xml:space="preserve"> Erfahrung der Funken: Die Jüngsten wissen oft nicht, was es mit dem Karneval oder den Traditionsgesellschaften auf sich hat. Das ist dann ein </w:t>
      </w:r>
      <w:r>
        <w:t>Stück</w:t>
      </w:r>
      <w:r w:rsidR="00C205DD">
        <w:t xml:space="preserve"> Mission in der innerstädtischen Diaspora.</w:t>
      </w:r>
    </w:p>
    <w:p w14:paraId="4A45213D" w14:textId="77777777" w:rsidR="00EA34A6" w:rsidRDefault="00EA34A6" w:rsidP="00102126">
      <w:pPr>
        <w:spacing w:line="360" w:lineRule="auto"/>
        <w:ind w:left="851" w:right="419"/>
      </w:pPr>
    </w:p>
    <w:p w14:paraId="4E4B8814" w14:textId="3E07E709" w:rsidR="00C627DE" w:rsidRDefault="00C372BC" w:rsidP="00102126">
      <w:pPr>
        <w:spacing w:line="360" w:lineRule="auto"/>
        <w:ind w:left="851" w:right="419"/>
      </w:pPr>
      <w:r>
        <w:t>Die Beispiele zeigen</w:t>
      </w:r>
      <w:r w:rsidR="00987A0C">
        <w:t xml:space="preserve"> </w:t>
      </w:r>
      <w:r>
        <w:t xml:space="preserve">das </w:t>
      </w:r>
      <w:r w:rsidR="00987A0C">
        <w:t xml:space="preserve">breit angelegte </w:t>
      </w:r>
      <w:r>
        <w:t>Spektrum</w:t>
      </w:r>
      <w:r w:rsidR="00987A0C">
        <w:t xml:space="preserve"> des Jubiläumsprogramms</w:t>
      </w:r>
      <w:r>
        <w:t xml:space="preserve">. Der große Paukenschlag kommt aber zum Schluss. In der Lanxess-Arena wird eine Revue stattfinden, die </w:t>
      </w:r>
      <w:r w:rsidR="00B0045A">
        <w:t xml:space="preserve">ausdrücklich </w:t>
      </w:r>
      <w:r>
        <w:t>keine Karnevalsparty sein wird, sondern ein</w:t>
      </w:r>
      <w:r w:rsidR="00987A0C">
        <w:t>en</w:t>
      </w:r>
      <w:r>
        <w:t xml:space="preserve"> Rückblick </w:t>
      </w:r>
      <w:r w:rsidR="00987A0C">
        <w:t>auf</w:t>
      </w:r>
      <w:r>
        <w:t xml:space="preserve"> zwei Jahrhunderte</w:t>
      </w:r>
      <w:r w:rsidR="00B0045A">
        <w:t xml:space="preserve"> Weltgeschehen</w:t>
      </w:r>
      <w:r w:rsidR="00987A0C">
        <w:t xml:space="preserve"> gibt </w:t>
      </w:r>
      <w:r w:rsidR="00227D31">
        <w:t>–</w:t>
      </w:r>
      <w:r w:rsidR="00B0045A">
        <w:t xml:space="preserve"> </w:t>
      </w:r>
      <w:r>
        <w:t>und</w:t>
      </w:r>
      <w:r w:rsidR="00227D31">
        <w:t xml:space="preserve"> </w:t>
      </w:r>
      <w:r>
        <w:t>dazwischen die Roten Funken als kleines Rad im großen Welt</w:t>
      </w:r>
      <w:r w:rsidR="00987A0C">
        <w:t>getriebe</w:t>
      </w:r>
      <w:r>
        <w:t xml:space="preserve">. Eine Revue, für die </w:t>
      </w:r>
      <w:proofErr w:type="spellStart"/>
      <w:r>
        <w:t>Divertissementchen</w:t>
      </w:r>
      <w:proofErr w:type="spellEnd"/>
      <w:r>
        <w:t>-Regisseur Lajos Wenzel das Drehbuch geschrieben hat. Heinz</w:t>
      </w:r>
      <w:r w:rsidR="00136533">
        <w:t>-</w:t>
      </w:r>
      <w:r>
        <w:t>Günther Hunold selbstsicher: „Wer das verpasst, muss sich anschließend 200 Jahre lang ärgern.“</w:t>
      </w:r>
    </w:p>
    <w:p w14:paraId="4957D419" w14:textId="49709ABF" w:rsidR="00390975" w:rsidRDefault="00390975" w:rsidP="00390975">
      <w:pPr>
        <w:spacing w:line="360" w:lineRule="auto"/>
        <w:ind w:left="851" w:right="419"/>
      </w:pPr>
    </w:p>
    <w:p w14:paraId="7FED7F27" w14:textId="286EA49A" w:rsidR="00390975" w:rsidRPr="00F30E9D" w:rsidRDefault="00000000" w:rsidP="00390975">
      <w:pPr>
        <w:spacing w:line="360" w:lineRule="auto"/>
        <w:ind w:left="851" w:right="419"/>
      </w:pPr>
      <w:hyperlink r:id="rId6" w:history="1">
        <w:r w:rsidR="00F30E9D" w:rsidRPr="00295288">
          <w:rPr>
            <w:rStyle w:val="Hyperlink"/>
          </w:rPr>
          <w:t>https://200johr.de/hier-geht-es-zum-programm/</w:t>
        </w:r>
      </w:hyperlink>
      <w:r w:rsidR="00F30E9D">
        <w:t xml:space="preserve"> </w:t>
      </w:r>
    </w:p>
    <w:p w14:paraId="6B88658D" w14:textId="77777777" w:rsidR="00E66196" w:rsidRPr="00102126" w:rsidRDefault="00E66196" w:rsidP="00390975">
      <w:pPr>
        <w:spacing w:line="360" w:lineRule="auto"/>
        <w:ind w:left="851" w:right="419"/>
        <w:rPr>
          <w:b/>
          <w:bCs/>
        </w:rPr>
      </w:pPr>
    </w:p>
    <w:p w14:paraId="29EF189B" w14:textId="77777777" w:rsidR="00102126" w:rsidRDefault="00102126" w:rsidP="00B0045A">
      <w:pPr>
        <w:spacing w:line="360" w:lineRule="auto"/>
        <w:ind w:right="419"/>
        <w:rPr>
          <w:b/>
          <w:bCs/>
        </w:rPr>
      </w:pPr>
    </w:p>
    <w:p w14:paraId="46D79654" w14:textId="504609B4" w:rsidR="00390975" w:rsidRPr="00102126" w:rsidRDefault="00390975" w:rsidP="00102126">
      <w:pPr>
        <w:ind w:left="851" w:right="419"/>
        <w:rPr>
          <w:b/>
          <w:bCs/>
        </w:rPr>
      </w:pPr>
      <w:r w:rsidRPr="00102126">
        <w:rPr>
          <w:b/>
          <w:bCs/>
        </w:rPr>
        <w:t>Weitere Presseinfos</w:t>
      </w:r>
      <w:r w:rsidR="00102126" w:rsidRPr="00102126">
        <w:rPr>
          <w:b/>
          <w:bCs/>
        </w:rPr>
        <w:t>:</w:t>
      </w:r>
    </w:p>
    <w:p w14:paraId="45DC381C" w14:textId="2043D259" w:rsidR="00102126" w:rsidRDefault="00C5243E" w:rsidP="00102126">
      <w:pPr>
        <w:ind w:left="851" w:right="419"/>
      </w:pPr>
      <w:r>
        <w:t>U</w:t>
      </w:r>
      <w:r w:rsidR="00102126">
        <w:t>nter</w:t>
      </w:r>
      <w:r>
        <w:t>: www.200johr.de/presse</w:t>
      </w:r>
      <w:r w:rsidR="00102126">
        <w:t xml:space="preserve"> </w:t>
      </w:r>
    </w:p>
    <w:p w14:paraId="5745E78A" w14:textId="105021AB" w:rsidR="00102126" w:rsidRDefault="00102126" w:rsidP="00102126">
      <w:pPr>
        <w:ind w:left="851" w:right="419"/>
      </w:pPr>
      <w:r>
        <w:t>und bei</w:t>
      </w:r>
    </w:p>
    <w:p w14:paraId="3B6C78FA" w14:textId="77777777" w:rsidR="00102126" w:rsidRDefault="00102126" w:rsidP="00102126">
      <w:pPr>
        <w:ind w:left="851" w:right="419"/>
      </w:pPr>
      <w:r>
        <w:t>Günter Ebert</w:t>
      </w:r>
    </w:p>
    <w:p w14:paraId="73858C4C" w14:textId="49F4479F" w:rsidR="00102126" w:rsidRPr="00136533" w:rsidRDefault="00102126" w:rsidP="00102126">
      <w:pPr>
        <w:ind w:left="851" w:right="419"/>
        <w:rPr>
          <w:rFonts w:cstheme="minorHAnsi"/>
          <w:color w:val="000000" w:themeColor="text1"/>
        </w:rPr>
      </w:pPr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Kölsche Funke rut-wieß vun 1823 e. V. </w:t>
      </w:r>
    </w:p>
    <w:p w14:paraId="0120EA36" w14:textId="44DD8B86" w:rsidR="00102126" w:rsidRDefault="00000000" w:rsidP="00102126">
      <w:pPr>
        <w:ind w:left="851" w:right="419"/>
      </w:pPr>
      <w:hyperlink r:id="rId7" w:history="1">
        <w:r w:rsidR="00A6598E" w:rsidRPr="00BD424C">
          <w:rPr>
            <w:rStyle w:val="Hyperlink"/>
          </w:rPr>
          <w:t>ebert@rote-funken.de</w:t>
        </w:r>
      </w:hyperlink>
    </w:p>
    <w:p w14:paraId="754F3097" w14:textId="77777777" w:rsidR="00A74428" w:rsidRDefault="00A74428" w:rsidP="00A74428">
      <w:pPr>
        <w:ind w:left="851" w:right="419"/>
      </w:pPr>
      <w:r>
        <w:t>Tel: 0171-3621066</w:t>
      </w:r>
    </w:p>
    <w:p w14:paraId="7072ADB7" w14:textId="77777777" w:rsidR="00C627DE" w:rsidRDefault="00C627DE" w:rsidP="00102126">
      <w:pPr>
        <w:spacing w:line="360" w:lineRule="auto"/>
        <w:ind w:right="419"/>
      </w:pPr>
    </w:p>
    <w:sectPr w:rsidR="00C627DE" w:rsidSect="00ED7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8FF1" w14:textId="77777777" w:rsidR="003F0EC1" w:rsidRDefault="003F0EC1" w:rsidP="00D03B38">
      <w:r>
        <w:separator/>
      </w:r>
    </w:p>
  </w:endnote>
  <w:endnote w:type="continuationSeparator" w:id="0">
    <w:p w14:paraId="0753DFBB" w14:textId="77777777" w:rsidR="003F0EC1" w:rsidRDefault="003F0EC1" w:rsidP="00D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E5E2" w14:textId="77777777" w:rsidR="00785C10" w:rsidRDefault="00785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56F" w14:textId="77777777" w:rsidR="00785C10" w:rsidRDefault="00785C10" w:rsidP="00785C10">
    <w:pPr>
      <w:pStyle w:val="Fuzeile"/>
      <w:ind w:left="-1134"/>
      <w:rPr>
        <w:sz w:val="16"/>
        <w:szCs w:val="16"/>
      </w:rPr>
    </w:pPr>
  </w:p>
  <w:p w14:paraId="1584B5DC" w14:textId="77777777" w:rsidR="00785C10" w:rsidRDefault="00785C10" w:rsidP="00785C10">
    <w:pPr>
      <w:pStyle w:val="Fuzeile"/>
      <w:ind w:left="851"/>
      <w:rPr>
        <w:sz w:val="16"/>
        <w:szCs w:val="16"/>
      </w:rPr>
    </w:pPr>
    <w:r w:rsidRPr="00AB6987">
      <w:rPr>
        <w:sz w:val="16"/>
        <w:szCs w:val="16"/>
      </w:rPr>
      <w:t xml:space="preserve">Wir danken </w:t>
    </w:r>
  </w:p>
  <w:p w14:paraId="1F4166EE" w14:textId="77777777" w:rsidR="00785C10" w:rsidRDefault="00785C10" w:rsidP="00785C10">
    <w:pPr>
      <w:pStyle w:val="Fuzeile"/>
      <w:ind w:left="851"/>
      <w:rPr>
        <w:sz w:val="16"/>
        <w:szCs w:val="16"/>
      </w:rPr>
    </w:pPr>
    <w:r w:rsidRPr="00AB6987">
      <w:rPr>
        <w:sz w:val="16"/>
        <w:szCs w:val="16"/>
      </w:rPr>
      <w:t>unseren Sponsoren</w:t>
    </w:r>
    <w:r>
      <w:rPr>
        <w:sz w:val="16"/>
        <w:szCs w:val="16"/>
      </w:rPr>
      <w:t>:</w:t>
    </w:r>
  </w:p>
  <w:p w14:paraId="35AC3669" w14:textId="168DA4EE" w:rsidR="00987A0C" w:rsidRPr="00785C10" w:rsidRDefault="00785C10" w:rsidP="00785C10">
    <w:pPr>
      <w:pStyle w:val="Fuzeile"/>
      <w:ind w:left="851"/>
      <w:rPr>
        <w:sz w:val="16"/>
        <w:szCs w:val="16"/>
      </w:rPr>
    </w:pPr>
    <w:r w:rsidRPr="00AB6987">
      <w:rPr>
        <w:noProof/>
      </w:rPr>
      <w:drawing>
        <wp:inline distT="0" distB="0" distL="0" distR="0" wp14:anchorId="193FC4F2" wp14:editId="3E732ACA">
          <wp:extent cx="640044" cy="467232"/>
          <wp:effectExtent l="0" t="0" r="0" b="317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633D6E08" wp14:editId="46B32344">
          <wp:extent cx="640044" cy="467232"/>
          <wp:effectExtent l="0" t="0" r="0" b="317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615CB2EE" wp14:editId="3C493C63">
          <wp:extent cx="640044" cy="467232"/>
          <wp:effectExtent l="0" t="0" r="0" b="317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609E7954" wp14:editId="3AA183C7">
          <wp:extent cx="640044" cy="467232"/>
          <wp:effectExtent l="0" t="0" r="0" b="3175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61493139" wp14:editId="4FF23FEE">
          <wp:extent cx="585632" cy="427512"/>
          <wp:effectExtent l="0" t="0" r="0" b="444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40044" cy="46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1B8B80B4" wp14:editId="51D53ACD">
          <wp:extent cx="640044" cy="467232"/>
          <wp:effectExtent l="0" t="0" r="0" b="3175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7C3DBA43" wp14:editId="671F9CD7">
          <wp:extent cx="640044" cy="467232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drawing>
        <wp:inline distT="0" distB="0" distL="0" distR="0" wp14:anchorId="42D0D1BA" wp14:editId="600A9C71">
          <wp:extent cx="640044" cy="467232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12208D05" wp14:editId="05CEB6DC">
          <wp:extent cx="640044" cy="467232"/>
          <wp:effectExtent l="0" t="0" r="0" b="317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6649D8AE" wp14:editId="3A0A8558">
          <wp:extent cx="640044" cy="467232"/>
          <wp:effectExtent l="0" t="0" r="0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40AA5DA8" wp14:editId="62D7C3F4">
          <wp:extent cx="640044" cy="467232"/>
          <wp:effectExtent l="0" t="0" r="0" b="317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0A856440" wp14:editId="3A63A159">
          <wp:extent cx="640044" cy="467232"/>
          <wp:effectExtent l="0" t="0" r="0" b="317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1B31B2B8" wp14:editId="5CA1F916">
          <wp:extent cx="640044" cy="467232"/>
          <wp:effectExtent l="0" t="0" r="0" b="317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4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FC1" w14:textId="77777777" w:rsidR="00785C10" w:rsidRDefault="00785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2058" w14:textId="77777777" w:rsidR="003F0EC1" w:rsidRDefault="003F0EC1" w:rsidP="00D03B38">
      <w:r>
        <w:separator/>
      </w:r>
    </w:p>
  </w:footnote>
  <w:footnote w:type="continuationSeparator" w:id="0">
    <w:p w14:paraId="1418F348" w14:textId="77777777" w:rsidR="003F0EC1" w:rsidRDefault="003F0EC1" w:rsidP="00D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AC40" w14:textId="77777777" w:rsidR="00785C10" w:rsidRDefault="00785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988" w14:textId="7BE7F783" w:rsidR="00D03B38" w:rsidRDefault="00D03B38" w:rsidP="00390975">
    <w:pPr>
      <w:pStyle w:val="Kopfzeile"/>
      <w:ind w:left="851"/>
    </w:pPr>
    <w:r>
      <w:tab/>
    </w:r>
    <w:r>
      <w:tab/>
    </w:r>
    <w:r>
      <w:rPr>
        <w:noProof/>
      </w:rPr>
      <w:drawing>
        <wp:inline distT="0" distB="0" distL="0" distR="0" wp14:anchorId="03A77C82" wp14:editId="12B59840">
          <wp:extent cx="719667" cy="734144"/>
          <wp:effectExtent l="0" t="0" r="444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54" cy="79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937" w14:textId="77777777" w:rsidR="00785C10" w:rsidRDefault="00785C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8"/>
    <w:rsid w:val="00017FA4"/>
    <w:rsid w:val="000656A5"/>
    <w:rsid w:val="000944EA"/>
    <w:rsid w:val="00102126"/>
    <w:rsid w:val="001140FF"/>
    <w:rsid w:val="00136533"/>
    <w:rsid w:val="0018363A"/>
    <w:rsid w:val="00227D31"/>
    <w:rsid w:val="0023671D"/>
    <w:rsid w:val="00267DA6"/>
    <w:rsid w:val="00280029"/>
    <w:rsid w:val="00285A5D"/>
    <w:rsid w:val="002959A2"/>
    <w:rsid w:val="002C6ED1"/>
    <w:rsid w:val="002D7992"/>
    <w:rsid w:val="00390975"/>
    <w:rsid w:val="003B4C87"/>
    <w:rsid w:val="003B6C99"/>
    <w:rsid w:val="003C1AAD"/>
    <w:rsid w:val="003D49A6"/>
    <w:rsid w:val="003F0EC1"/>
    <w:rsid w:val="00421B4E"/>
    <w:rsid w:val="004C4B0E"/>
    <w:rsid w:val="00541D1A"/>
    <w:rsid w:val="0058523A"/>
    <w:rsid w:val="005D112D"/>
    <w:rsid w:val="006226AB"/>
    <w:rsid w:val="006A55EA"/>
    <w:rsid w:val="006F64D5"/>
    <w:rsid w:val="00746BB2"/>
    <w:rsid w:val="00785C10"/>
    <w:rsid w:val="00810110"/>
    <w:rsid w:val="0087561C"/>
    <w:rsid w:val="008A0A01"/>
    <w:rsid w:val="008D64BF"/>
    <w:rsid w:val="00915FF0"/>
    <w:rsid w:val="00987A0C"/>
    <w:rsid w:val="00A050C3"/>
    <w:rsid w:val="00A6598E"/>
    <w:rsid w:val="00A74428"/>
    <w:rsid w:val="00B0045A"/>
    <w:rsid w:val="00B27EB4"/>
    <w:rsid w:val="00BC2FC3"/>
    <w:rsid w:val="00BF2031"/>
    <w:rsid w:val="00C205DD"/>
    <w:rsid w:val="00C372BC"/>
    <w:rsid w:val="00C4492B"/>
    <w:rsid w:val="00C5243E"/>
    <w:rsid w:val="00C627DE"/>
    <w:rsid w:val="00CF7D5D"/>
    <w:rsid w:val="00D03B38"/>
    <w:rsid w:val="00D31A94"/>
    <w:rsid w:val="00D4525F"/>
    <w:rsid w:val="00D453C9"/>
    <w:rsid w:val="00DF2DFF"/>
    <w:rsid w:val="00E013AE"/>
    <w:rsid w:val="00E551E9"/>
    <w:rsid w:val="00E66196"/>
    <w:rsid w:val="00EA34A6"/>
    <w:rsid w:val="00ED78B8"/>
    <w:rsid w:val="00F03D72"/>
    <w:rsid w:val="00F254BC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6283D"/>
  <w15:chartTrackingRefBased/>
  <w15:docId w15:val="{6F9B9DE3-3759-3A46-9199-C890923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B38"/>
  </w:style>
  <w:style w:type="paragraph" w:styleId="Fuzeile">
    <w:name w:val="footer"/>
    <w:basedOn w:val="Standard"/>
    <w:link w:val="FuzeileZchn"/>
    <w:uiPriority w:val="99"/>
    <w:unhideWhenUsed/>
    <w:rsid w:val="00D03B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B38"/>
  </w:style>
  <w:style w:type="character" w:styleId="Hyperlink">
    <w:name w:val="Hyperlink"/>
    <w:basedOn w:val="Absatz-Standardschriftart"/>
    <w:uiPriority w:val="99"/>
    <w:unhideWhenUsed/>
    <w:rsid w:val="00102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12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226AB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3653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0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bert@rote-funke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0johr.de/hier-geht-es-zum-program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Scheurer</dc:creator>
  <cp:keywords/>
  <dc:description/>
  <cp:lastModifiedBy>Fabian Jonek</cp:lastModifiedBy>
  <cp:revision>2</cp:revision>
  <dcterms:created xsi:type="dcterms:W3CDTF">2022-12-16T10:11:00Z</dcterms:created>
  <dcterms:modified xsi:type="dcterms:W3CDTF">2022-12-16T10:11:00Z</dcterms:modified>
</cp:coreProperties>
</file>