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C867" w14:textId="77777777" w:rsidR="00AB6987" w:rsidRDefault="00AB6987" w:rsidP="00AB6987">
      <w:pPr>
        <w:spacing w:line="276" w:lineRule="auto"/>
        <w:ind w:left="5664" w:right="419" w:firstLine="708"/>
      </w:pPr>
    </w:p>
    <w:p w14:paraId="438211BA" w14:textId="68B3DA1F" w:rsidR="00D03B38" w:rsidRDefault="00D03B38" w:rsidP="00AB6987">
      <w:pPr>
        <w:spacing w:line="276" w:lineRule="auto"/>
        <w:ind w:left="5664" w:right="419" w:firstLine="708"/>
      </w:pPr>
      <w:r>
        <w:t>PRESSEINFORMATION</w:t>
      </w:r>
    </w:p>
    <w:p w14:paraId="7E9D0AB2" w14:textId="77777777" w:rsidR="00AB6987" w:rsidRDefault="00AB6987" w:rsidP="0093452C">
      <w:pPr>
        <w:ind w:right="419"/>
        <w:rPr>
          <w:b/>
          <w:bCs/>
        </w:rPr>
      </w:pPr>
    </w:p>
    <w:p w14:paraId="4B330A93" w14:textId="77777777" w:rsidR="00D80927" w:rsidRPr="0096133B" w:rsidRDefault="00D80927" w:rsidP="00D80927">
      <w:pPr>
        <w:ind w:left="2127"/>
        <w:rPr>
          <w:rFonts w:cstheme="minorHAnsi"/>
          <w:i/>
          <w:iCs/>
        </w:rPr>
      </w:pPr>
      <w:r w:rsidRPr="0096133B">
        <w:rPr>
          <w:rFonts w:cstheme="minorHAnsi"/>
          <w:i/>
          <w:iCs/>
        </w:rPr>
        <w:t xml:space="preserve">07. Dezember 2022: Lesung und Autorengespräch: Frank Schätzing und Denis Scheck </w:t>
      </w:r>
    </w:p>
    <w:p w14:paraId="00299082" w14:textId="77777777" w:rsidR="00D80927" w:rsidRPr="0096133B" w:rsidRDefault="00D80927" w:rsidP="00D80927">
      <w:pPr>
        <w:ind w:left="2127"/>
        <w:rPr>
          <w:rFonts w:cstheme="minorHAnsi"/>
        </w:rPr>
      </w:pPr>
    </w:p>
    <w:p w14:paraId="55997C4E" w14:textId="77777777" w:rsidR="00D80927" w:rsidRPr="0096133B" w:rsidRDefault="00D80927" w:rsidP="00D80927">
      <w:pPr>
        <w:ind w:left="2127"/>
        <w:rPr>
          <w:rFonts w:cstheme="minorHAnsi"/>
          <w:b/>
          <w:bCs/>
        </w:rPr>
      </w:pPr>
      <w:r w:rsidRPr="0096133B">
        <w:rPr>
          <w:rFonts w:cstheme="minorHAnsi"/>
          <w:b/>
          <w:bCs/>
        </w:rPr>
        <w:t>Thriller-Autor wird politisch</w:t>
      </w:r>
    </w:p>
    <w:p w14:paraId="7C429533" w14:textId="77777777" w:rsidR="00D80927" w:rsidRPr="0096133B" w:rsidRDefault="00D80927" w:rsidP="00D80927">
      <w:pPr>
        <w:ind w:left="2127"/>
        <w:rPr>
          <w:rFonts w:cstheme="minorHAnsi"/>
          <w:b/>
          <w:bCs/>
        </w:rPr>
      </w:pPr>
    </w:p>
    <w:p w14:paraId="2162BE17" w14:textId="77777777" w:rsidR="00D80927" w:rsidRPr="0096133B" w:rsidRDefault="00D80927" w:rsidP="00D80927">
      <w:pPr>
        <w:ind w:left="2127"/>
        <w:rPr>
          <w:rFonts w:cstheme="minorHAnsi"/>
          <w:b/>
          <w:bCs/>
        </w:rPr>
      </w:pPr>
      <w:r w:rsidRPr="0096133B">
        <w:rPr>
          <w:rFonts w:cstheme="minorHAnsi"/>
          <w:b/>
          <w:bCs/>
        </w:rPr>
        <w:t>Lesung und Autorengespräch</w:t>
      </w:r>
      <w:r w:rsidRPr="0096133B">
        <w:rPr>
          <w:rFonts w:cstheme="minorHAnsi"/>
          <w:b/>
          <w:bCs/>
        </w:rPr>
        <w:br/>
        <w:t xml:space="preserve">mit Schätzing und Scheck </w:t>
      </w:r>
    </w:p>
    <w:p w14:paraId="642335DF" w14:textId="77777777" w:rsidR="00D80927" w:rsidRPr="0096133B" w:rsidRDefault="00D80927" w:rsidP="00D80927">
      <w:pPr>
        <w:ind w:left="2127"/>
        <w:rPr>
          <w:rFonts w:cstheme="minorHAnsi"/>
        </w:rPr>
      </w:pPr>
    </w:p>
    <w:p w14:paraId="35D68AB9" w14:textId="6BF6C606" w:rsidR="00D80927" w:rsidRPr="0096133B" w:rsidRDefault="00D80927" w:rsidP="00D80927">
      <w:pPr>
        <w:ind w:left="2127"/>
        <w:rPr>
          <w:rFonts w:cstheme="minorHAnsi"/>
        </w:rPr>
      </w:pPr>
      <w:r w:rsidRPr="0096133B">
        <w:rPr>
          <w:rFonts w:cstheme="minorHAnsi"/>
        </w:rPr>
        <w:t xml:space="preserve">Kultur trifft Kritik: In der Ülepooz treffen am 7. Dezember zwei Meister ihres Fachs aufeinander. Anlässlich des 200-jährigen Funkenjubiläums verwickelt ARD-Literaturkritiker Denis Scheck den kölschen Schriftsteller Frank Schätzing in ein Gespräch. Dabei gibt der Bestsellerautor aus der Südstadt Einblicke in seine Arbeitswelt. Auch Schätzings neuester Roman „Was, wenn wir einfach die Welt retten?“ wird ein Thema. Zum Ausklang des Literaturtreffs besteht die Möglichkeit, Bücher signieren zu lassen und selbst mit Schriftsteller und Kritiker ins Gespräch zu kommen. </w:t>
      </w:r>
    </w:p>
    <w:p w14:paraId="0294A577" w14:textId="77777777" w:rsidR="00D80927" w:rsidRPr="0096133B" w:rsidRDefault="00D80927" w:rsidP="00D80927">
      <w:pPr>
        <w:ind w:left="2127"/>
        <w:rPr>
          <w:rFonts w:cstheme="minorHAnsi"/>
        </w:rPr>
      </w:pPr>
    </w:p>
    <w:p w14:paraId="1B9C79EF" w14:textId="4458D6D5" w:rsidR="00D80927" w:rsidRPr="0096133B" w:rsidRDefault="00D80927" w:rsidP="00D80927">
      <w:pPr>
        <w:ind w:left="2127"/>
        <w:rPr>
          <w:rFonts w:cstheme="minorHAnsi"/>
        </w:rPr>
      </w:pPr>
      <w:r w:rsidRPr="0096133B">
        <w:rPr>
          <w:rFonts w:cstheme="minorHAnsi"/>
        </w:rPr>
        <w:t xml:space="preserve">Die Veranstaltung findet am 7. Dezember 2022 </w:t>
      </w:r>
      <w:r w:rsidR="00BF179D">
        <w:rPr>
          <w:rFonts w:cstheme="minorHAnsi"/>
        </w:rPr>
        <w:t>um</w:t>
      </w:r>
      <w:r w:rsidRPr="0096133B">
        <w:rPr>
          <w:rFonts w:cstheme="minorHAnsi"/>
        </w:rPr>
        <w:t xml:space="preserve"> 19.30 Uhr in der Ülepooz, Ulrepforte 1, 50677 Köln statt. Der Eintritt ist frei. Anmeldung erforderlich unter: </w:t>
      </w:r>
      <w:hyperlink r:id="rId6" w:history="1">
        <w:r w:rsidRPr="0096133B">
          <w:rPr>
            <w:rStyle w:val="Hyperlink"/>
            <w:rFonts w:cstheme="minorHAnsi"/>
          </w:rPr>
          <w:t>epost@rote-funken.de</w:t>
        </w:r>
      </w:hyperlink>
      <w:r w:rsidRPr="0096133B">
        <w:rPr>
          <w:rFonts w:cstheme="minorHAnsi"/>
        </w:rPr>
        <w:t xml:space="preserve">  </w:t>
      </w:r>
    </w:p>
    <w:p w14:paraId="5CFE860A" w14:textId="77777777" w:rsidR="00D80927" w:rsidRPr="0096133B" w:rsidRDefault="00D80927" w:rsidP="00D80927">
      <w:pPr>
        <w:ind w:left="2127"/>
        <w:rPr>
          <w:rFonts w:cstheme="minorHAnsi"/>
        </w:rPr>
      </w:pPr>
    </w:p>
    <w:p w14:paraId="2B6911AA" w14:textId="1F36925B" w:rsidR="00D80927" w:rsidRPr="0096133B" w:rsidRDefault="00D80927" w:rsidP="00D80927">
      <w:pPr>
        <w:ind w:left="2127"/>
        <w:rPr>
          <w:rFonts w:cstheme="minorHAnsi"/>
        </w:rPr>
      </w:pPr>
      <w:r w:rsidRPr="0096133B">
        <w:rPr>
          <w:rFonts w:cstheme="minorHAnsi"/>
        </w:rPr>
        <w:t xml:space="preserve">Einen Überblick über weitere Veranstaltungen im Jubiläumsjahr finden </w:t>
      </w:r>
      <w:r>
        <w:rPr>
          <w:rFonts w:cstheme="minorHAnsi"/>
        </w:rPr>
        <w:t>S</w:t>
      </w:r>
      <w:r w:rsidRPr="0096133B">
        <w:rPr>
          <w:rFonts w:cstheme="minorHAnsi"/>
        </w:rPr>
        <w:t xml:space="preserve">ie hier: </w:t>
      </w:r>
      <w:hyperlink r:id="rId7" w:history="1">
        <w:r w:rsidRPr="0096133B">
          <w:rPr>
            <w:rStyle w:val="Hyperlink"/>
            <w:rFonts w:cstheme="minorHAnsi"/>
          </w:rPr>
          <w:t>https://200johr.de/</w:t>
        </w:r>
      </w:hyperlink>
    </w:p>
    <w:p w14:paraId="1AA77AB0" w14:textId="77777777" w:rsidR="006E75A0" w:rsidRDefault="006E75A0" w:rsidP="00DD2BC1">
      <w:pPr>
        <w:ind w:left="2127"/>
        <w:rPr>
          <w:rFonts w:cstheme="minorHAnsi"/>
          <w:b/>
          <w:bCs/>
          <w:i/>
          <w:iCs/>
        </w:rPr>
      </w:pPr>
    </w:p>
    <w:p w14:paraId="03D3A042" w14:textId="44EEDD2A" w:rsidR="00DD2BC1" w:rsidRDefault="00DD2BC1" w:rsidP="00DD2BC1">
      <w:pPr>
        <w:ind w:left="2127"/>
        <w:rPr>
          <w:rFonts w:cstheme="minorHAnsi"/>
          <w:b/>
          <w:bCs/>
          <w:i/>
          <w:iCs/>
        </w:rPr>
      </w:pPr>
      <w:r>
        <w:rPr>
          <w:rFonts w:cstheme="minorHAnsi"/>
          <w:b/>
          <w:bCs/>
          <w:i/>
          <w:iCs/>
        </w:rPr>
        <w:t>______________</w:t>
      </w:r>
    </w:p>
    <w:p w14:paraId="5096AF98" w14:textId="70F6AF71" w:rsidR="0093452C" w:rsidRDefault="00DD2BC1" w:rsidP="00DD2BC1">
      <w:pPr>
        <w:ind w:left="2124" w:right="419"/>
        <w:rPr>
          <w:rFonts w:cstheme="minorHAnsi"/>
          <w:b/>
          <w:bCs/>
          <w:i/>
          <w:iCs/>
        </w:rPr>
      </w:pPr>
      <w:r w:rsidRPr="00623E80">
        <w:rPr>
          <w:rFonts w:cstheme="minorHAnsi"/>
          <w:b/>
          <w:bCs/>
          <w:i/>
          <w:iCs/>
        </w:rPr>
        <w:t xml:space="preserve">Am Tag nach der Veranstaltung finden Sie unter </w:t>
      </w:r>
      <w:hyperlink r:id="rId8" w:history="1">
        <w:r w:rsidRPr="00623E80">
          <w:rPr>
            <w:rStyle w:val="Hyperlink"/>
            <w:rFonts w:cstheme="minorHAnsi"/>
            <w:b/>
            <w:bCs/>
            <w:i/>
            <w:iCs/>
          </w:rPr>
          <w:t>www.200johr.de/presse</w:t>
        </w:r>
      </w:hyperlink>
      <w:r w:rsidRPr="00623E80">
        <w:rPr>
          <w:rFonts w:cstheme="minorHAnsi"/>
          <w:b/>
          <w:bCs/>
          <w:i/>
          <w:iCs/>
        </w:rPr>
        <w:t xml:space="preserve"> aktuelles Bildmaterial sowie einen kurzen Nachbericht.</w:t>
      </w:r>
    </w:p>
    <w:p w14:paraId="42B56EC6" w14:textId="77777777" w:rsidR="00FF56AD" w:rsidRDefault="00FF56AD" w:rsidP="00DD2BC1">
      <w:pPr>
        <w:ind w:left="2124" w:right="419"/>
        <w:rPr>
          <w:b/>
          <w:bCs/>
        </w:rPr>
      </w:pPr>
    </w:p>
    <w:p w14:paraId="47C6FC2D" w14:textId="3FDB3FBF" w:rsidR="00061C7B" w:rsidRPr="00102126" w:rsidRDefault="00061C7B" w:rsidP="0093452C">
      <w:pPr>
        <w:ind w:left="2124" w:right="419"/>
        <w:rPr>
          <w:b/>
          <w:bCs/>
        </w:rPr>
      </w:pPr>
      <w:r w:rsidRPr="00102126">
        <w:rPr>
          <w:b/>
          <w:bCs/>
        </w:rPr>
        <w:t>Weitere Presseinfos</w:t>
      </w:r>
      <w:r>
        <w:rPr>
          <w:b/>
          <w:bCs/>
        </w:rPr>
        <w:t xml:space="preserve"> sowie Pressefotos</w:t>
      </w:r>
      <w:r w:rsidRPr="00102126">
        <w:rPr>
          <w:b/>
          <w:bCs/>
        </w:rPr>
        <w:t>:</w:t>
      </w:r>
    </w:p>
    <w:p w14:paraId="37C51D98" w14:textId="5115F722" w:rsidR="00061C7B" w:rsidRDefault="00965981" w:rsidP="0093452C">
      <w:pPr>
        <w:ind w:left="2124" w:right="419"/>
      </w:pPr>
      <w:r>
        <w:t>U</w:t>
      </w:r>
      <w:r w:rsidR="00061C7B">
        <w:t>nter</w:t>
      </w:r>
      <w:r>
        <w:t>:</w:t>
      </w:r>
      <w:r w:rsidR="00061C7B">
        <w:t xml:space="preserve"> </w:t>
      </w:r>
      <w:hyperlink r:id="rId9" w:history="1">
        <w:r w:rsidR="00BF179D" w:rsidRPr="00C9349A">
          <w:rPr>
            <w:rStyle w:val="Hyperlink"/>
          </w:rPr>
          <w:t>www.200johr.de/presse</w:t>
        </w:r>
      </w:hyperlink>
      <w:r w:rsidR="00BF179D">
        <w:t xml:space="preserve"> </w:t>
      </w:r>
    </w:p>
    <w:p w14:paraId="200D227E" w14:textId="77777777" w:rsidR="00061C7B" w:rsidRDefault="00061C7B" w:rsidP="0093452C">
      <w:pPr>
        <w:ind w:left="2124" w:right="419"/>
      </w:pPr>
      <w:r>
        <w:t>und bei</w:t>
      </w:r>
    </w:p>
    <w:p w14:paraId="32F1002F" w14:textId="77777777" w:rsidR="00061C7B" w:rsidRDefault="00061C7B" w:rsidP="0093452C">
      <w:pPr>
        <w:ind w:left="2124" w:right="419"/>
      </w:pPr>
      <w:r>
        <w:t>Günter Ebert</w:t>
      </w:r>
    </w:p>
    <w:p w14:paraId="62A0DEB1" w14:textId="52B6BDD3" w:rsidR="00061C7B" w:rsidRPr="00136533" w:rsidRDefault="00061C7B" w:rsidP="0093452C">
      <w:pPr>
        <w:ind w:left="2124" w:right="419"/>
        <w:rPr>
          <w:rFonts w:cstheme="minorHAnsi"/>
          <w:color w:val="000000" w:themeColor="text1"/>
        </w:rPr>
      </w:pPr>
      <w:r w:rsidRPr="00136533">
        <w:rPr>
          <w:rFonts w:eastAsia="Times New Roman" w:cstheme="minorHAnsi"/>
          <w:color w:val="000000" w:themeColor="text1"/>
          <w:shd w:val="clear" w:color="auto" w:fill="FFFFFF"/>
          <w:lang w:eastAsia="de-DE"/>
        </w:rPr>
        <w:t>Kölsche Funke rut-wieß vun 1823 e. V.</w:t>
      </w:r>
    </w:p>
    <w:p w14:paraId="508C216A" w14:textId="724A9392" w:rsidR="00061C7B" w:rsidRDefault="007A4EBE" w:rsidP="0093452C">
      <w:pPr>
        <w:ind w:left="2124" w:right="419"/>
      </w:pPr>
      <w:hyperlink r:id="rId10" w:history="1">
        <w:r w:rsidRPr="00797948">
          <w:rPr>
            <w:rStyle w:val="Hyperlink"/>
          </w:rPr>
          <w:t>ebert@rote-funken.de</w:t>
        </w:r>
      </w:hyperlink>
    </w:p>
    <w:p w14:paraId="7072ADB7" w14:textId="1FC458A0" w:rsidR="00C627DE" w:rsidRDefault="00061C7B" w:rsidP="0093452C">
      <w:pPr>
        <w:ind w:left="2124" w:right="419"/>
      </w:pPr>
      <w:r>
        <w:t xml:space="preserve">Tel: </w:t>
      </w:r>
      <w:r w:rsidR="008A7283" w:rsidRPr="00087B0D">
        <w:t>0171-3621066</w:t>
      </w:r>
    </w:p>
    <w:sectPr w:rsidR="00C627DE" w:rsidSect="00ED78B8">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21D0" w14:textId="77777777" w:rsidR="00E35041" w:rsidRDefault="00E35041" w:rsidP="00D03B38">
      <w:r>
        <w:separator/>
      </w:r>
    </w:p>
  </w:endnote>
  <w:endnote w:type="continuationSeparator" w:id="0">
    <w:p w14:paraId="4FBF6E5D" w14:textId="77777777" w:rsidR="00E35041" w:rsidRDefault="00E35041" w:rsidP="00D0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3365" w14:textId="77777777" w:rsidR="00AB6987" w:rsidRDefault="00AB6987" w:rsidP="00AB6987">
    <w:pPr>
      <w:pStyle w:val="Fuzeile"/>
      <w:ind w:left="-1134"/>
      <w:rPr>
        <w:sz w:val="16"/>
        <w:szCs w:val="16"/>
      </w:rPr>
    </w:pPr>
  </w:p>
  <w:p w14:paraId="5963CFE4" w14:textId="780E0321" w:rsidR="00AB6987" w:rsidRDefault="00AB6987" w:rsidP="00AB6987">
    <w:pPr>
      <w:pStyle w:val="Fuzeile"/>
      <w:ind w:left="851"/>
      <w:rPr>
        <w:sz w:val="16"/>
        <w:szCs w:val="16"/>
      </w:rPr>
    </w:pPr>
    <w:r>
      <w:rPr>
        <w:sz w:val="16"/>
        <w:szCs w:val="16"/>
      </w:rPr>
      <w:t>________________</w:t>
    </w:r>
  </w:p>
  <w:p w14:paraId="42C804AE" w14:textId="77777777" w:rsidR="006528C7" w:rsidRDefault="006528C7" w:rsidP="006528C7">
    <w:pPr>
      <w:pStyle w:val="Fuzeile"/>
      <w:ind w:left="851"/>
      <w:rPr>
        <w:sz w:val="16"/>
        <w:szCs w:val="16"/>
      </w:rPr>
    </w:pPr>
    <w:r w:rsidRPr="00AB6987">
      <w:rPr>
        <w:sz w:val="16"/>
        <w:szCs w:val="16"/>
      </w:rPr>
      <w:t xml:space="preserve">Wir danken </w:t>
    </w:r>
  </w:p>
  <w:p w14:paraId="0E685464" w14:textId="77777777" w:rsidR="006528C7" w:rsidRDefault="006528C7" w:rsidP="006528C7">
    <w:pPr>
      <w:pStyle w:val="Fuzeile"/>
      <w:ind w:left="851"/>
      <w:rPr>
        <w:sz w:val="16"/>
        <w:szCs w:val="16"/>
      </w:rPr>
    </w:pPr>
    <w:r w:rsidRPr="00AB6987">
      <w:rPr>
        <w:sz w:val="16"/>
        <w:szCs w:val="16"/>
      </w:rPr>
      <w:t>unseren Sponsoren</w:t>
    </w:r>
    <w:r>
      <w:rPr>
        <w:sz w:val="16"/>
        <w:szCs w:val="16"/>
      </w:rPr>
      <w:t>:</w:t>
    </w:r>
  </w:p>
  <w:p w14:paraId="537A3740" w14:textId="77777777" w:rsidR="006528C7" w:rsidRPr="00AB6987" w:rsidRDefault="006528C7" w:rsidP="006528C7">
    <w:pPr>
      <w:pStyle w:val="Fuzeile"/>
      <w:ind w:left="851"/>
      <w:rPr>
        <w:sz w:val="16"/>
        <w:szCs w:val="16"/>
      </w:rPr>
    </w:pPr>
    <w:r>
      <w:rPr>
        <w:noProof/>
        <w:sz w:val="16"/>
        <w:szCs w:val="16"/>
      </w:rPr>
      <w:drawing>
        <wp:anchor distT="0" distB="0" distL="114300" distR="114300" simplePos="0" relativeHeight="251659264" behindDoc="1" locked="0" layoutInCell="1" allowOverlap="1" wp14:anchorId="12A67190" wp14:editId="165F5697">
          <wp:simplePos x="0" y="0"/>
          <wp:positionH relativeFrom="column">
            <wp:posOffset>5080562</wp:posOffset>
          </wp:positionH>
          <wp:positionV relativeFrom="paragraph">
            <wp:posOffset>124460</wp:posOffset>
          </wp:positionV>
          <wp:extent cx="325901" cy="244032"/>
          <wp:effectExtent l="0" t="0" r="444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325901" cy="244032"/>
                  </a:xfrm>
                  <a:prstGeom prst="rect">
                    <a:avLst/>
                  </a:prstGeom>
                </pic:spPr>
              </pic:pic>
            </a:graphicData>
          </a:graphic>
          <wp14:sizeRelH relativeFrom="page">
            <wp14:pctWidth>0</wp14:pctWidth>
          </wp14:sizeRelH>
          <wp14:sizeRelV relativeFrom="page">
            <wp14:pctHeight>0</wp14:pctHeight>
          </wp14:sizeRelV>
        </wp:anchor>
      </w:drawing>
    </w:r>
    <w:r w:rsidRPr="00AB6987">
      <w:rPr>
        <w:noProof/>
      </w:rPr>
      <w:t xml:space="preserve"> </w:t>
    </w:r>
    <w:r w:rsidRPr="00AB6987">
      <w:rPr>
        <w:noProof/>
      </w:rPr>
      <w:drawing>
        <wp:inline distT="0" distB="0" distL="0" distR="0" wp14:anchorId="628997F3" wp14:editId="53972EDA">
          <wp:extent cx="585632" cy="427512"/>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40044" cy="467233"/>
                  </a:xfrm>
                  <a:prstGeom prst="rect">
                    <a:avLst/>
                  </a:prstGeom>
                </pic:spPr>
              </pic:pic>
            </a:graphicData>
          </a:graphic>
        </wp:inline>
      </w:drawing>
    </w:r>
    <w:r>
      <w:rPr>
        <w:noProof/>
      </w:rPr>
      <w:t xml:space="preserve">   </w:t>
    </w:r>
    <w:r w:rsidRPr="00AB6987">
      <w:rPr>
        <w:noProof/>
      </w:rPr>
      <w:drawing>
        <wp:inline distT="0" distB="0" distL="0" distR="0" wp14:anchorId="69ED3869" wp14:editId="4C99FE78">
          <wp:extent cx="553097" cy="403761"/>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23200" cy="454936"/>
                  </a:xfrm>
                  <a:prstGeom prst="rect">
                    <a:avLst/>
                  </a:prstGeom>
                </pic:spPr>
              </pic:pic>
            </a:graphicData>
          </a:graphic>
        </wp:inline>
      </w:drawing>
    </w:r>
    <w:r w:rsidRPr="00AB6987">
      <w:rPr>
        <w:noProof/>
      </w:rPr>
      <w:t xml:space="preserve"> </w:t>
    </w:r>
    <w:r w:rsidRPr="00AB6987">
      <w:rPr>
        <w:noProof/>
      </w:rPr>
      <w:drawing>
        <wp:inline distT="0" distB="0" distL="0" distR="0" wp14:anchorId="4AC411C4" wp14:editId="5EEA73AD">
          <wp:extent cx="618165" cy="451263"/>
          <wp:effectExtent l="0" t="0" r="444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4967" cy="500029"/>
                  </a:xfrm>
                  <a:prstGeom prst="rect">
                    <a:avLst/>
                  </a:prstGeom>
                </pic:spPr>
              </pic:pic>
            </a:graphicData>
          </a:graphic>
        </wp:inline>
      </w:drawing>
    </w:r>
    <w:r w:rsidRPr="00AB6987">
      <w:rPr>
        <w:noProof/>
      </w:rPr>
      <w:t xml:space="preserve"> </w:t>
    </w:r>
    <w:r w:rsidRPr="00AB6987">
      <w:rPr>
        <w:noProof/>
      </w:rPr>
      <w:drawing>
        <wp:inline distT="0" distB="0" distL="0" distR="0" wp14:anchorId="6364AE21" wp14:editId="2879129D">
          <wp:extent cx="544964" cy="397823"/>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3567" cy="433303"/>
                  </a:xfrm>
                  <a:prstGeom prst="rect">
                    <a:avLst/>
                  </a:prstGeom>
                </pic:spPr>
              </pic:pic>
            </a:graphicData>
          </a:graphic>
        </wp:inline>
      </w:drawing>
    </w:r>
    <w:r w:rsidRPr="00AB6987">
      <w:rPr>
        <w:noProof/>
      </w:rPr>
      <w:t xml:space="preserve"> </w:t>
    </w:r>
    <w:r w:rsidRPr="00AB6987">
      <w:rPr>
        <w:noProof/>
      </w:rPr>
      <w:drawing>
        <wp:inline distT="0" distB="0" distL="0" distR="0" wp14:anchorId="47CBD6B8" wp14:editId="71F927D5">
          <wp:extent cx="667291" cy="445325"/>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93982" cy="529874"/>
                  </a:xfrm>
                  <a:prstGeom prst="rect">
                    <a:avLst/>
                  </a:prstGeom>
                </pic:spPr>
              </pic:pic>
            </a:graphicData>
          </a:graphic>
        </wp:inline>
      </w:drawing>
    </w:r>
    <w:r w:rsidRPr="00AB6987">
      <w:rPr>
        <w:noProof/>
      </w:rPr>
      <w:drawing>
        <wp:inline distT="0" distB="0" distL="0" distR="0" wp14:anchorId="7E7A1228" wp14:editId="2C178B6F">
          <wp:extent cx="633870" cy="462726"/>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6902" cy="494139"/>
                  </a:xfrm>
                  <a:prstGeom prst="rect">
                    <a:avLst/>
                  </a:prstGeom>
                </pic:spPr>
              </pic:pic>
            </a:graphicData>
          </a:graphic>
        </wp:inline>
      </w:drawing>
    </w:r>
    <w:r w:rsidRPr="00AB6987">
      <w:rPr>
        <w:noProof/>
      </w:rPr>
      <w:drawing>
        <wp:inline distT="0" distB="0" distL="0" distR="0" wp14:anchorId="1E4CE164" wp14:editId="066F786C">
          <wp:extent cx="642005" cy="468663"/>
          <wp:effectExtent l="0" t="0" r="5715"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9298" cy="517786"/>
                  </a:xfrm>
                  <a:prstGeom prst="rect">
                    <a:avLst/>
                  </a:prstGeom>
                </pic:spPr>
              </pic:pic>
            </a:graphicData>
          </a:graphic>
        </wp:inline>
      </w:drawing>
    </w:r>
  </w:p>
  <w:p w14:paraId="3B06FB0A" w14:textId="383E22C0" w:rsidR="00AB6987" w:rsidRPr="00AB6987" w:rsidRDefault="00AB6987" w:rsidP="006528C7">
    <w:pPr>
      <w:pStyle w:val="Fuzeile"/>
      <w:ind w:left="85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07EB" w14:textId="77777777" w:rsidR="00E35041" w:rsidRDefault="00E35041" w:rsidP="00D03B38">
      <w:r>
        <w:separator/>
      </w:r>
    </w:p>
  </w:footnote>
  <w:footnote w:type="continuationSeparator" w:id="0">
    <w:p w14:paraId="76190B4A" w14:textId="77777777" w:rsidR="00E35041" w:rsidRDefault="00E35041" w:rsidP="00D03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8988" w14:textId="685A379F" w:rsidR="00D03B38" w:rsidRDefault="00D03B38" w:rsidP="00390975">
    <w:pPr>
      <w:pStyle w:val="Kopfzeile"/>
      <w:ind w:left="851"/>
    </w:pPr>
    <w:r>
      <w:tab/>
    </w:r>
    <w:r w:rsidR="00AB6987">
      <w:t xml:space="preserve">                                                                                                           </w:t>
    </w:r>
    <w:r>
      <w:rPr>
        <w:noProof/>
      </w:rPr>
      <w:drawing>
        <wp:inline distT="0" distB="0" distL="0" distR="0" wp14:anchorId="03A77C82" wp14:editId="12B59840">
          <wp:extent cx="719667" cy="734144"/>
          <wp:effectExtent l="0" t="0" r="444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75354" cy="7909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38"/>
    <w:rsid w:val="00017FA4"/>
    <w:rsid w:val="0003097D"/>
    <w:rsid w:val="00061C7B"/>
    <w:rsid w:val="000950CE"/>
    <w:rsid w:val="00096B10"/>
    <w:rsid w:val="000F37FC"/>
    <w:rsid w:val="00102126"/>
    <w:rsid w:val="00110B59"/>
    <w:rsid w:val="00126D61"/>
    <w:rsid w:val="00154A31"/>
    <w:rsid w:val="001971DD"/>
    <w:rsid w:val="0023671D"/>
    <w:rsid w:val="002503C9"/>
    <w:rsid w:val="00267DA6"/>
    <w:rsid w:val="00285A5D"/>
    <w:rsid w:val="002959A2"/>
    <w:rsid w:val="002B2D6D"/>
    <w:rsid w:val="002C3EB6"/>
    <w:rsid w:val="002D7992"/>
    <w:rsid w:val="0033672E"/>
    <w:rsid w:val="00390975"/>
    <w:rsid w:val="0039435E"/>
    <w:rsid w:val="003B6C99"/>
    <w:rsid w:val="003E1DB8"/>
    <w:rsid w:val="00401D53"/>
    <w:rsid w:val="00523F38"/>
    <w:rsid w:val="005466D0"/>
    <w:rsid w:val="0058523A"/>
    <w:rsid w:val="006226AB"/>
    <w:rsid w:val="006276B4"/>
    <w:rsid w:val="006528C7"/>
    <w:rsid w:val="006E75A0"/>
    <w:rsid w:val="006F64D5"/>
    <w:rsid w:val="00741F47"/>
    <w:rsid w:val="007A4EBE"/>
    <w:rsid w:val="00855451"/>
    <w:rsid w:val="0086094C"/>
    <w:rsid w:val="008966F3"/>
    <w:rsid w:val="008A7283"/>
    <w:rsid w:val="008C6908"/>
    <w:rsid w:val="00915FF0"/>
    <w:rsid w:val="0093452C"/>
    <w:rsid w:val="00965981"/>
    <w:rsid w:val="009C59D8"/>
    <w:rsid w:val="009E197E"/>
    <w:rsid w:val="009F2087"/>
    <w:rsid w:val="00A11DD0"/>
    <w:rsid w:val="00A56AFD"/>
    <w:rsid w:val="00A72EDE"/>
    <w:rsid w:val="00AB4B61"/>
    <w:rsid w:val="00AB6987"/>
    <w:rsid w:val="00B0045A"/>
    <w:rsid w:val="00BC2FC3"/>
    <w:rsid w:val="00BF179D"/>
    <w:rsid w:val="00BF2031"/>
    <w:rsid w:val="00C205DD"/>
    <w:rsid w:val="00C372BC"/>
    <w:rsid w:val="00C4492B"/>
    <w:rsid w:val="00C627DE"/>
    <w:rsid w:val="00CF7D5D"/>
    <w:rsid w:val="00D03B38"/>
    <w:rsid w:val="00D453C9"/>
    <w:rsid w:val="00D80927"/>
    <w:rsid w:val="00DD2BC1"/>
    <w:rsid w:val="00DE2ACF"/>
    <w:rsid w:val="00E23A3F"/>
    <w:rsid w:val="00E35041"/>
    <w:rsid w:val="00E551E9"/>
    <w:rsid w:val="00E66196"/>
    <w:rsid w:val="00E8251B"/>
    <w:rsid w:val="00EA34A6"/>
    <w:rsid w:val="00ED78B8"/>
    <w:rsid w:val="00F00423"/>
    <w:rsid w:val="00F2390E"/>
    <w:rsid w:val="00F846FC"/>
    <w:rsid w:val="00FA4502"/>
    <w:rsid w:val="00FF5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E6283D"/>
  <w15:chartTrackingRefBased/>
  <w15:docId w15:val="{6F9B9DE3-3759-3A46-9199-C8909232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3B38"/>
    <w:pPr>
      <w:tabs>
        <w:tab w:val="center" w:pos="4536"/>
        <w:tab w:val="right" w:pos="9072"/>
      </w:tabs>
    </w:pPr>
  </w:style>
  <w:style w:type="character" w:customStyle="1" w:styleId="KopfzeileZchn">
    <w:name w:val="Kopfzeile Zchn"/>
    <w:basedOn w:val="Absatz-Standardschriftart"/>
    <w:link w:val="Kopfzeile"/>
    <w:uiPriority w:val="99"/>
    <w:rsid w:val="00D03B38"/>
  </w:style>
  <w:style w:type="paragraph" w:styleId="Fuzeile">
    <w:name w:val="footer"/>
    <w:basedOn w:val="Standard"/>
    <w:link w:val="FuzeileZchn"/>
    <w:uiPriority w:val="99"/>
    <w:unhideWhenUsed/>
    <w:rsid w:val="00D03B38"/>
    <w:pPr>
      <w:tabs>
        <w:tab w:val="center" w:pos="4536"/>
        <w:tab w:val="right" w:pos="9072"/>
      </w:tabs>
    </w:pPr>
  </w:style>
  <w:style w:type="character" w:customStyle="1" w:styleId="FuzeileZchn">
    <w:name w:val="Fußzeile Zchn"/>
    <w:basedOn w:val="Absatz-Standardschriftart"/>
    <w:link w:val="Fuzeile"/>
    <w:uiPriority w:val="99"/>
    <w:rsid w:val="00D03B38"/>
  </w:style>
  <w:style w:type="character" w:styleId="Hyperlink">
    <w:name w:val="Hyperlink"/>
    <w:basedOn w:val="Absatz-Standardschriftart"/>
    <w:uiPriority w:val="99"/>
    <w:unhideWhenUsed/>
    <w:rsid w:val="00102126"/>
    <w:rPr>
      <w:color w:val="0563C1" w:themeColor="hyperlink"/>
      <w:u w:val="single"/>
    </w:rPr>
  </w:style>
  <w:style w:type="character" w:styleId="NichtaufgelsteErwhnung">
    <w:name w:val="Unresolved Mention"/>
    <w:basedOn w:val="Absatz-Standardschriftart"/>
    <w:uiPriority w:val="99"/>
    <w:semiHidden/>
    <w:unhideWhenUsed/>
    <w:rsid w:val="00102126"/>
    <w:rPr>
      <w:color w:val="605E5C"/>
      <w:shd w:val="clear" w:color="auto" w:fill="E1DFDD"/>
    </w:rPr>
  </w:style>
  <w:style w:type="character" w:styleId="Hervorhebung">
    <w:name w:val="Emphasis"/>
    <w:basedOn w:val="Absatz-Standardschriftart"/>
    <w:uiPriority w:val="20"/>
    <w:qFormat/>
    <w:rsid w:val="006226AB"/>
    <w:rPr>
      <w:i/>
      <w:iCs/>
    </w:rPr>
  </w:style>
  <w:style w:type="character" w:styleId="Kommentarzeichen">
    <w:name w:val="annotation reference"/>
    <w:basedOn w:val="Absatz-Standardschriftart"/>
    <w:uiPriority w:val="99"/>
    <w:semiHidden/>
    <w:unhideWhenUsed/>
    <w:rsid w:val="00061C7B"/>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berarbeitung">
    <w:name w:val="Revision"/>
    <w:hidden/>
    <w:uiPriority w:val="99"/>
    <w:semiHidden/>
    <w:rsid w:val="0012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5054">
      <w:bodyDiv w:val="1"/>
      <w:marLeft w:val="0"/>
      <w:marRight w:val="0"/>
      <w:marTop w:val="0"/>
      <w:marBottom w:val="0"/>
      <w:divBdr>
        <w:top w:val="none" w:sz="0" w:space="0" w:color="auto"/>
        <w:left w:val="none" w:sz="0" w:space="0" w:color="auto"/>
        <w:bottom w:val="none" w:sz="0" w:space="0" w:color="auto"/>
        <w:right w:val="none" w:sz="0" w:space="0" w:color="auto"/>
      </w:divBdr>
    </w:div>
    <w:div w:id="20803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0johr.de/pres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200johr.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post@rote-funken.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ebert@rote-funken.de" TargetMode="External"/><Relationship Id="rId4" Type="http://schemas.openxmlformats.org/officeDocument/2006/relationships/footnotes" Target="footnotes.xml"/><Relationship Id="rId9" Type="http://schemas.openxmlformats.org/officeDocument/2006/relationships/hyperlink" Target="http://www.200johr.de/pres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Scheurer</dc:creator>
  <cp:keywords/>
  <dc:description/>
  <cp:lastModifiedBy>Clara Scheurer</cp:lastModifiedBy>
  <cp:revision>7</cp:revision>
  <dcterms:created xsi:type="dcterms:W3CDTF">2022-07-21T13:02:00Z</dcterms:created>
  <dcterms:modified xsi:type="dcterms:W3CDTF">2022-09-12T12:01:00Z</dcterms:modified>
</cp:coreProperties>
</file>